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1E" w:rsidRPr="00E4450D" w:rsidRDefault="00E02834" w:rsidP="00E02834">
      <w:pPr>
        <w:jc w:val="center"/>
        <w:rPr>
          <w:rFonts w:ascii="Times New Roman" w:eastAsia="標楷體" w:hAnsi="Times New Roman"/>
          <w:sz w:val="40"/>
        </w:rPr>
      </w:pPr>
      <w:bookmarkStart w:id="0" w:name="_GoBack"/>
      <w:r w:rsidRPr="00E4450D">
        <w:rPr>
          <w:rFonts w:ascii="Times New Roman" w:eastAsia="標楷體" w:hAnsi="Times New Roman" w:hint="eastAsia"/>
          <w:sz w:val="40"/>
        </w:rPr>
        <w:t>公益</w:t>
      </w:r>
      <w:proofErr w:type="gramStart"/>
      <w:r w:rsidRPr="00E4450D">
        <w:rPr>
          <w:rFonts w:ascii="Times New Roman" w:eastAsia="標楷體" w:hAnsi="Times New Roman" w:hint="eastAsia"/>
          <w:sz w:val="40"/>
        </w:rPr>
        <w:t>揭弊者</w:t>
      </w:r>
      <w:proofErr w:type="gramEnd"/>
      <w:r w:rsidRPr="00E4450D">
        <w:rPr>
          <w:rFonts w:ascii="Times New Roman" w:eastAsia="標楷體" w:hAnsi="Times New Roman" w:hint="eastAsia"/>
          <w:sz w:val="40"/>
        </w:rPr>
        <w:t>保護法常見問答指南</w:t>
      </w:r>
    </w:p>
    <w:bookmarkEnd w:id="0"/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Q1</w:t>
      </w:r>
      <w:r w:rsidRPr="00E02834">
        <w:rPr>
          <w:rFonts w:ascii="Times New Roman" w:eastAsia="標楷體" w:hAnsi="Times New Roman" w:hint="eastAsia"/>
          <w:sz w:val="32"/>
        </w:rPr>
        <w:t>：什麼是《公益揭弊者保護法》的生效日期？</w:t>
      </w:r>
    </w:p>
    <w:p w:rsidR="00E02834" w:rsidRPr="00E02834" w:rsidRDefault="00E02834" w:rsidP="00E02834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A1</w:t>
      </w:r>
      <w:r w:rsidRPr="00E02834">
        <w:rPr>
          <w:rFonts w:ascii="Times New Roman" w:eastAsia="標楷體" w:hAnsi="Times New Roman" w:hint="eastAsia"/>
          <w:sz w:val="32"/>
        </w:rPr>
        <w:t>：本法已於中華民國一百十四年一月二十二日公布。本法自公布後六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個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月施行，即自中華民國一百十四年七月二十二日施行。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Q2</w:t>
      </w:r>
      <w:r w:rsidRPr="00E02834">
        <w:rPr>
          <w:rFonts w:ascii="Times New Roman" w:eastAsia="標楷體" w:hAnsi="Times New Roman" w:hint="eastAsia"/>
          <w:sz w:val="32"/>
        </w:rPr>
        <w:t>：本法所稱的「弊案」範圍包括哪些類型？</w:t>
      </w:r>
    </w:p>
    <w:p w:rsidR="00E02834" w:rsidRPr="00E02834" w:rsidRDefault="00E02834" w:rsidP="00E02834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A2</w:t>
      </w:r>
      <w:r w:rsidRPr="00E02834">
        <w:rPr>
          <w:rFonts w:ascii="Times New Roman" w:eastAsia="標楷體" w:hAnsi="Times New Roman" w:hint="eastAsia"/>
          <w:sz w:val="32"/>
        </w:rPr>
        <w:t>：本法所列的弊案，以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刑事犯罪</w:t>
      </w:r>
      <w:r w:rsidRPr="00E02834">
        <w:rPr>
          <w:rFonts w:ascii="Times New Roman" w:eastAsia="標楷體" w:hAnsi="Times New Roman" w:hint="eastAsia"/>
          <w:sz w:val="32"/>
        </w:rPr>
        <w:t>、得處以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罰鍰</w:t>
      </w:r>
      <w:r w:rsidRPr="00E02834">
        <w:rPr>
          <w:rFonts w:ascii="Times New Roman" w:eastAsia="標楷體" w:hAnsi="Times New Roman" w:hint="eastAsia"/>
          <w:sz w:val="32"/>
        </w:rPr>
        <w:t>的違規行為或應付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懲戒（處）、評鑑</w:t>
      </w:r>
      <w:r w:rsidRPr="00E02834">
        <w:rPr>
          <w:rFonts w:ascii="Times New Roman" w:eastAsia="標楷體" w:hAnsi="Times New Roman" w:hint="eastAsia"/>
          <w:sz w:val="32"/>
        </w:rPr>
        <w:t>的行為為限。具體類型涵蓋公務員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或泛公部門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人員所涉的行為，例如：刑法瀆職罪章、貪污治罪條例、違反政府採購法、法官法應付評鑑行為，以及其他涉及危害公共利益且情節重大的行為（例如環境保護、金融經濟、勞動法規等特定違法行為）。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Q3</w:t>
      </w:r>
      <w:r w:rsidRPr="00E02834">
        <w:rPr>
          <w:rFonts w:ascii="Times New Roman" w:eastAsia="標楷體" w:hAnsi="Times New Roman" w:hint="eastAsia"/>
          <w:sz w:val="32"/>
        </w:rPr>
        <w:t>：本法主要適用的對象範圍，也就是「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泛公部門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」包含哪些實體？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A3</w:t>
      </w:r>
      <w:r w:rsidRPr="00E02834">
        <w:rPr>
          <w:rFonts w:ascii="Times New Roman" w:eastAsia="標楷體" w:hAnsi="Times New Roman" w:hint="eastAsia"/>
          <w:sz w:val="32"/>
        </w:rPr>
        <w:t>：本法適用範圍以「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泛公部門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」為主，包含：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1.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政府機關（構）</w:t>
      </w:r>
      <w:r w:rsidRPr="00E02834">
        <w:rPr>
          <w:rFonts w:ascii="Times New Roman" w:eastAsia="標楷體" w:hAnsi="Times New Roman" w:hint="eastAsia"/>
          <w:sz w:val="32"/>
        </w:rPr>
        <w:t>：指中央與各級地方政府機關、行政法人、</w:t>
      </w:r>
      <w:r w:rsidRPr="00E02834">
        <w:rPr>
          <w:rFonts w:ascii="Times New Roman" w:eastAsia="標楷體" w:hAnsi="Times New Roman" w:hint="eastAsia"/>
          <w:sz w:val="32"/>
        </w:rPr>
        <w:lastRenderedPageBreak/>
        <w:t>公立學校、公立醫療院所、公營事業、政府捐助之財團法人。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2.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國營事業</w:t>
      </w:r>
      <w:r w:rsidRPr="00E02834">
        <w:rPr>
          <w:rFonts w:ascii="Times New Roman" w:eastAsia="標楷體" w:hAnsi="Times New Roman" w:hint="eastAsia"/>
          <w:sz w:val="32"/>
        </w:rPr>
        <w:t>：指國營事業管理法第三條規定之事業。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3.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受政府控制之事業、團體或機構</w:t>
      </w:r>
      <w:r w:rsidRPr="00E02834">
        <w:rPr>
          <w:rFonts w:ascii="Times New Roman" w:eastAsia="標楷體" w:hAnsi="Times New Roman" w:hint="eastAsia"/>
          <w:sz w:val="32"/>
        </w:rPr>
        <w:t>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Q4</w:t>
      </w:r>
      <w:r w:rsidRPr="00E02834">
        <w:rPr>
          <w:rFonts w:ascii="Times New Roman" w:eastAsia="標楷體" w:hAnsi="Times New Roman" w:hint="eastAsia"/>
          <w:sz w:val="32"/>
        </w:rPr>
        <w:t>：誰符合本法所稱的「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」身份？</w:t>
      </w: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A4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包括兩大類：</w:t>
      </w:r>
    </w:p>
    <w:p w:rsidR="00E02834" w:rsidRPr="00E02834" w:rsidRDefault="00E02834" w:rsidP="00E02834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1.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公部門</w:t>
      </w:r>
      <w:proofErr w:type="gramStart"/>
      <w:r w:rsidRPr="00E02834">
        <w:rPr>
          <w:rFonts w:ascii="Times New Roman" w:eastAsia="標楷體" w:hAnsi="Times New Roman" w:hint="eastAsia"/>
          <w:b/>
          <w:color w:val="FF0000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：指公務員，或接受政府機關（構）僱用、委任、承攬等契約關係而提供勞務獲致報酬的相對人及其員工。</w:t>
      </w:r>
    </w:p>
    <w:p w:rsidR="00E02834" w:rsidRPr="00E02834" w:rsidRDefault="00E02834" w:rsidP="00E02834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2.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國營事業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/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受政府控制機構</w:t>
      </w:r>
      <w:proofErr w:type="gramStart"/>
      <w:r w:rsidRPr="00E02834">
        <w:rPr>
          <w:rFonts w:ascii="Times New Roman" w:eastAsia="標楷體" w:hAnsi="Times New Roman" w:hint="eastAsia"/>
          <w:b/>
          <w:color w:val="FF0000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：指接受這些實體派任、僱用、承攬等契約關係而提供勞務獲致報酬的相對人及其員工。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proofErr w:type="gramStart"/>
      <w:r w:rsidRPr="00E02834">
        <w:rPr>
          <w:rFonts w:ascii="Times New Roman" w:eastAsia="標楷體" w:hAnsi="Times New Roman" w:hint="eastAsia"/>
          <w:sz w:val="32"/>
        </w:rPr>
        <w:t>所有揭弊者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必須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具名</w:t>
      </w:r>
      <w:r w:rsidRPr="00E02834">
        <w:rPr>
          <w:rFonts w:ascii="Times New Roman" w:eastAsia="標楷體" w:hAnsi="Times New Roman" w:hint="eastAsia"/>
          <w:sz w:val="32"/>
        </w:rPr>
        <w:t>向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受理揭弊機關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提出檢舉，且有事實合理相信發生了弊案。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Q5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應向哪些機關提出檢舉（受理揭弊機關）？</w:t>
      </w: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A5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受理揭弊機關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包含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多種，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例如：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1.</w:t>
      </w:r>
      <w:r w:rsidRPr="00E02834">
        <w:rPr>
          <w:rFonts w:ascii="Times New Roman" w:eastAsia="標楷體" w:hAnsi="Times New Roman" w:hint="eastAsia"/>
          <w:sz w:val="32"/>
        </w:rPr>
        <w:t>被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揭弊者所屬泛公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部門的主管、首長、負責人或其指定單位、人員。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lastRenderedPageBreak/>
        <w:t>2.</w:t>
      </w:r>
      <w:r w:rsidRPr="00E02834">
        <w:rPr>
          <w:rFonts w:ascii="Times New Roman" w:eastAsia="標楷體" w:hAnsi="Times New Roman" w:hint="eastAsia"/>
          <w:sz w:val="32"/>
        </w:rPr>
        <w:t>檢察機關。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3.</w:t>
      </w:r>
      <w:r w:rsidRPr="00E02834">
        <w:rPr>
          <w:rFonts w:ascii="Times New Roman" w:eastAsia="標楷體" w:hAnsi="Times New Roman" w:hint="eastAsia"/>
          <w:sz w:val="32"/>
        </w:rPr>
        <w:t>司法警察機關。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4.</w:t>
      </w:r>
      <w:r w:rsidRPr="00E02834">
        <w:rPr>
          <w:rFonts w:ascii="Times New Roman" w:eastAsia="標楷體" w:hAnsi="Times New Roman" w:hint="eastAsia"/>
          <w:sz w:val="32"/>
        </w:rPr>
        <w:t>目的事業主管機關。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5.</w:t>
      </w:r>
      <w:r w:rsidRPr="00E02834">
        <w:rPr>
          <w:rFonts w:ascii="Times New Roman" w:eastAsia="標楷體" w:hAnsi="Times New Roman" w:hint="eastAsia"/>
          <w:sz w:val="32"/>
        </w:rPr>
        <w:t>監察院。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6.</w:t>
      </w:r>
      <w:r w:rsidRPr="00E02834">
        <w:rPr>
          <w:rFonts w:ascii="Times New Roman" w:eastAsia="標楷體" w:hAnsi="Times New Roman" w:hint="eastAsia"/>
          <w:sz w:val="32"/>
        </w:rPr>
        <w:t>政風機構。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Q6</w:t>
      </w:r>
      <w:r w:rsidRPr="00E02834">
        <w:rPr>
          <w:rFonts w:ascii="Times New Roman" w:eastAsia="標楷體" w:hAnsi="Times New Roman" w:hint="eastAsia"/>
          <w:sz w:val="32"/>
        </w:rPr>
        <w:t>：如果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向受理機關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揭弊後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，沒有得到回應，應如何進一步處理？</w:t>
      </w: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A6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可依照「層次性通報」程序處理：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1.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若揭弊後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二</w:t>
      </w:r>
      <w:proofErr w:type="gramEnd"/>
      <w:r w:rsidRPr="00E02834">
        <w:rPr>
          <w:rFonts w:ascii="Times New Roman" w:eastAsia="標楷體" w:hAnsi="Times New Roman" w:hint="eastAsia"/>
          <w:b/>
          <w:color w:val="FF0000"/>
          <w:sz w:val="32"/>
        </w:rPr>
        <w:t>十日內</w:t>
      </w:r>
      <w:r w:rsidRPr="00E02834">
        <w:rPr>
          <w:rFonts w:ascii="Times New Roman" w:eastAsia="標楷體" w:hAnsi="Times New Roman" w:hint="eastAsia"/>
          <w:sz w:val="32"/>
        </w:rPr>
        <w:t>未獲受理調查之通知，可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促請辦理</w:t>
      </w:r>
      <w:r w:rsidRPr="00E02834">
        <w:rPr>
          <w:rFonts w:ascii="Times New Roman" w:eastAsia="標楷體" w:hAnsi="Times New Roman" w:hint="eastAsia"/>
          <w:sz w:val="32"/>
        </w:rPr>
        <w:t>。</w:t>
      </w:r>
    </w:p>
    <w:p w:rsidR="00E02834" w:rsidRPr="00E02834" w:rsidRDefault="00E02834" w:rsidP="00E02834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2.</w:t>
      </w:r>
      <w:r w:rsidRPr="00E02834">
        <w:rPr>
          <w:rFonts w:ascii="Times New Roman" w:eastAsia="標楷體" w:hAnsi="Times New Roman" w:hint="eastAsia"/>
          <w:sz w:val="32"/>
        </w:rPr>
        <w:t>經促請辦理後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十日內</w:t>
      </w:r>
      <w:r w:rsidRPr="00E02834">
        <w:rPr>
          <w:rFonts w:ascii="Times New Roman" w:eastAsia="標楷體" w:hAnsi="Times New Roman" w:hint="eastAsia"/>
          <w:sz w:val="32"/>
        </w:rPr>
        <w:t>仍未獲回應，得再具名向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中央或地方民意代表</w:t>
      </w:r>
      <w:r w:rsidRPr="00E02834">
        <w:rPr>
          <w:rFonts w:ascii="Times New Roman" w:eastAsia="標楷體" w:hAnsi="Times New Roman" w:hint="eastAsia"/>
          <w:sz w:val="32"/>
        </w:rPr>
        <w:t>、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具公司登記之媒體業者</w:t>
      </w:r>
      <w:r w:rsidRPr="00E02834">
        <w:rPr>
          <w:rFonts w:ascii="Times New Roman" w:eastAsia="標楷體" w:hAnsi="Times New Roman" w:hint="eastAsia"/>
          <w:sz w:val="32"/>
        </w:rPr>
        <w:t>或</w:t>
      </w:r>
      <w:r w:rsidRPr="00E02834">
        <w:rPr>
          <w:rFonts w:ascii="Times New Roman" w:eastAsia="標楷體" w:hAnsi="Times New Roman" w:hint="eastAsia"/>
          <w:b/>
          <w:color w:val="FF0000"/>
          <w:sz w:val="32"/>
        </w:rPr>
        <w:t>具法人登記之公益團體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揭弊，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自其向原受理機關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揭弊時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起受本法保護。</w:t>
      </w:r>
    </w:p>
    <w:p w:rsidR="00E02834" w:rsidRPr="00E02834" w:rsidRDefault="00E02834" w:rsidP="00E02834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proofErr w:type="gramStart"/>
      <w:r w:rsidRPr="00E02834">
        <w:rPr>
          <w:rFonts w:ascii="Times New Roman" w:eastAsia="標楷體" w:hAnsi="Times New Roman" w:hint="eastAsia"/>
          <w:sz w:val="32"/>
        </w:rPr>
        <w:t>此外，若揭弊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後六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個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月內未獲調查結果通知，經促請辦理後十日內仍未獲回應，亦可向上述人員或法人再為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揭弊。</w:t>
      </w:r>
      <w:proofErr w:type="gramEnd"/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Q7</w:t>
      </w:r>
      <w:r w:rsidRPr="00E02834">
        <w:rPr>
          <w:rFonts w:ascii="Times New Roman" w:eastAsia="標楷體" w:hAnsi="Times New Roman" w:hint="eastAsia"/>
          <w:sz w:val="32"/>
        </w:rPr>
        <w:t>：若政府機關或雇主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對揭弊者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採取「不利措施」，法律上有何禁止規定？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7F655C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lastRenderedPageBreak/>
        <w:t>A7</w:t>
      </w:r>
      <w:r w:rsidRPr="00E02834">
        <w:rPr>
          <w:rFonts w:ascii="Times New Roman" w:eastAsia="標楷體" w:hAnsi="Times New Roman" w:hint="eastAsia"/>
          <w:sz w:val="32"/>
        </w:rPr>
        <w:t>：政府機關（構）、法人或團體、個人，不得因為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揭發弊案、配合調查、拒絕參與弊案的決定或實施，或因前述作為而提起救濟等行為，而對其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採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行不利措施。</w:t>
      </w:r>
    </w:p>
    <w:p w:rsidR="00E02834" w:rsidRPr="00E02834" w:rsidRDefault="00E02834" w:rsidP="007F655C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不利措施包括解職、降調、不利考績、減薪（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俸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）、剝奪特殊權利、工作條件的不利變更，以及非依法令規定揭露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身分等。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Q8</w:t>
      </w:r>
      <w:r w:rsidRPr="00E02834">
        <w:rPr>
          <w:rFonts w:ascii="Times New Roman" w:eastAsia="標楷體" w:hAnsi="Times New Roman" w:hint="eastAsia"/>
          <w:sz w:val="32"/>
        </w:rPr>
        <w:t>：如果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遭受不利措施，可以請求哪些救濟或賠償？</w:t>
      </w: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A8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可以請求：</w:t>
      </w:r>
    </w:p>
    <w:p w:rsidR="00E02834" w:rsidRPr="00E02834" w:rsidRDefault="00E02834" w:rsidP="007F655C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1.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回復原狀</w:t>
      </w:r>
      <w:r w:rsidRPr="00E02834">
        <w:rPr>
          <w:rFonts w:ascii="Times New Roman" w:eastAsia="標楷體" w:hAnsi="Times New Roman" w:hint="eastAsia"/>
          <w:sz w:val="32"/>
        </w:rPr>
        <w:t>：回復至受不利措施前之職位及職務，或回復至相當之職位及職務；並回復原有年資、特殊權利、獎金、退休（職、伍）金等。</w:t>
      </w:r>
    </w:p>
    <w:p w:rsidR="00E02834" w:rsidRPr="00E02834" w:rsidRDefault="00E02834" w:rsidP="007F655C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2.</w:t>
      </w:r>
      <w:proofErr w:type="gramStart"/>
      <w:r w:rsidRPr="007F655C">
        <w:rPr>
          <w:rFonts w:ascii="Times New Roman" w:eastAsia="標楷體" w:hAnsi="Times New Roman" w:hint="eastAsia"/>
          <w:b/>
          <w:color w:val="FF0000"/>
          <w:sz w:val="32"/>
        </w:rPr>
        <w:t>俸</w:t>
      </w:r>
      <w:proofErr w:type="gramEnd"/>
      <w:r w:rsidRPr="007F655C">
        <w:rPr>
          <w:rFonts w:ascii="Times New Roman" w:eastAsia="標楷體" w:hAnsi="Times New Roman" w:hint="eastAsia"/>
          <w:b/>
          <w:color w:val="FF0000"/>
          <w:sz w:val="32"/>
        </w:rPr>
        <w:t>（薪）給或工資的補發</w:t>
      </w:r>
      <w:r w:rsidRPr="00E02834">
        <w:rPr>
          <w:rFonts w:ascii="Times New Roman" w:eastAsia="標楷體" w:hAnsi="Times New Roman" w:hint="eastAsia"/>
          <w:sz w:val="32"/>
        </w:rPr>
        <w:t>。</w:t>
      </w:r>
    </w:p>
    <w:p w:rsidR="00E02834" w:rsidRPr="00E02834" w:rsidRDefault="00E02834" w:rsidP="007F655C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3.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財產上損害的賠償</w:t>
      </w:r>
      <w:r w:rsidRPr="00E02834">
        <w:rPr>
          <w:rFonts w:ascii="Times New Roman" w:eastAsia="標楷體" w:hAnsi="Times New Roman" w:hint="eastAsia"/>
          <w:sz w:val="32"/>
        </w:rPr>
        <w:t>：包括其他期待利益之合理估算金額，以及依法提起救濟所合理支出的費用及律師酬金。</w:t>
      </w:r>
    </w:p>
    <w:p w:rsidR="00E02834" w:rsidRPr="00E02834" w:rsidRDefault="00E02834" w:rsidP="007F655C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4.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非財產上損害（精神損害）的賠償</w:t>
      </w:r>
      <w:r w:rsidRPr="00E02834">
        <w:rPr>
          <w:rFonts w:ascii="Times New Roman" w:eastAsia="標楷體" w:hAnsi="Times New Roman" w:hint="eastAsia"/>
          <w:sz w:val="32"/>
        </w:rPr>
        <w:t>：包括身體、健康、名譽、自由、信用、隱私等侵害，並得請求為回復名譽的適當處分。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lastRenderedPageBreak/>
        <w:t>Q9</w:t>
      </w:r>
      <w:r w:rsidRPr="00E02834">
        <w:rPr>
          <w:rFonts w:ascii="Times New Roman" w:eastAsia="標楷體" w:hAnsi="Times New Roman" w:hint="eastAsia"/>
          <w:sz w:val="32"/>
        </w:rPr>
        <w:t>：本法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對於揭弊者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身分保密提供了哪些具體措施？</w:t>
      </w:r>
    </w:p>
    <w:p w:rsidR="00E02834" w:rsidRPr="00E02834" w:rsidRDefault="00E02834" w:rsidP="007F655C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A9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受理揭弊機關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及其承辦人員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對揭弊者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身分應予保密，非經本人同意，不得無故洩漏。</w:t>
      </w:r>
    </w:p>
    <w:p w:rsidR="00E02834" w:rsidRPr="00E02834" w:rsidRDefault="00E02834" w:rsidP="007F655C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可以請求採取代號措施：</w:t>
      </w:r>
    </w:p>
    <w:p w:rsidR="00E02834" w:rsidRPr="00E02834" w:rsidRDefault="00E02834" w:rsidP="007F655C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1.</w:t>
      </w:r>
      <w:r w:rsidRPr="00E02834">
        <w:rPr>
          <w:rFonts w:ascii="Times New Roman" w:eastAsia="標楷體" w:hAnsi="Times New Roman" w:hint="eastAsia"/>
          <w:sz w:val="32"/>
        </w:rPr>
        <w:t>以代號製作筆錄或文書，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遮隱個人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資料。</w:t>
      </w:r>
    </w:p>
    <w:p w:rsidR="00E02834" w:rsidRPr="00E02834" w:rsidRDefault="00E02834" w:rsidP="007F655C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2.</w:t>
      </w:r>
      <w:r w:rsidRPr="00E02834">
        <w:rPr>
          <w:rFonts w:ascii="Times New Roman" w:eastAsia="標楷體" w:hAnsi="Times New Roman" w:hint="eastAsia"/>
          <w:sz w:val="32"/>
        </w:rPr>
        <w:t>簽名有保密必要時，得以按指印或簽寫代號代之，並製作代號與真實姓名對照表密封附卷。</w:t>
      </w:r>
    </w:p>
    <w:p w:rsidR="00E02834" w:rsidRPr="00E02834" w:rsidRDefault="00E02834" w:rsidP="007F655C">
      <w:pPr>
        <w:ind w:leftChars="300" w:left="1040" w:hangingChars="100" w:hanging="3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3.</w:t>
      </w:r>
      <w:r w:rsidRPr="00E02834">
        <w:rPr>
          <w:rFonts w:ascii="Times New Roman" w:eastAsia="標楷體" w:hAnsi="Times New Roman" w:hint="eastAsia"/>
          <w:sz w:val="32"/>
        </w:rPr>
        <w:t>在偵查或審理中，得要求蒙面、變聲、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變像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、視訊傳送或其他適當隔離方式進行詢問或對質。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Q10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是否能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獲得揭弊獎金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？獎金數額如何計算？</w:t>
      </w:r>
    </w:p>
    <w:p w:rsidR="00E02834" w:rsidRPr="00E02834" w:rsidRDefault="00E02834" w:rsidP="007F655C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A10</w:t>
      </w:r>
      <w:r w:rsidRPr="00E02834">
        <w:rPr>
          <w:rFonts w:ascii="Times New Roman" w:eastAsia="標楷體" w:hAnsi="Times New Roman" w:hint="eastAsia"/>
          <w:sz w:val="32"/>
        </w:rPr>
        <w:t>：是的，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因揭弊者之揭弊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而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查獲不法事實</w:t>
      </w:r>
      <w:r w:rsidRPr="00E02834">
        <w:rPr>
          <w:rFonts w:ascii="Times New Roman" w:eastAsia="標楷體" w:hAnsi="Times New Roman" w:hint="eastAsia"/>
          <w:sz w:val="32"/>
        </w:rPr>
        <w:t>者，應給與獎金。但行使公權力之政府機關（構）及其所屬人員、配偶或三親等以內之親屬則不在此限。</w:t>
      </w:r>
    </w:p>
    <w:p w:rsidR="00E02834" w:rsidRPr="00E02834" w:rsidRDefault="00E02834" w:rsidP="007F655C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獎金的數額不得低於違反法令者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因揭弊所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受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罰鍰、罰金、沒收之財物或財產上利益、追徵價額、財產抵償之總額百分之十</w:t>
      </w:r>
      <w:r w:rsidRPr="00E02834">
        <w:rPr>
          <w:rFonts w:ascii="Times New Roman" w:eastAsia="標楷體" w:hAnsi="Times New Roman" w:hint="eastAsia"/>
          <w:sz w:val="32"/>
        </w:rPr>
        <w:t>。</w:t>
      </w:r>
    </w:p>
    <w:p w:rsidR="00E02834" w:rsidRPr="00E02834" w:rsidRDefault="00E02834" w:rsidP="007F655C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proofErr w:type="gramStart"/>
      <w:r w:rsidRPr="00E02834">
        <w:rPr>
          <w:rFonts w:ascii="Times New Roman" w:eastAsia="標楷體" w:hAnsi="Times New Roman" w:hint="eastAsia"/>
          <w:sz w:val="32"/>
        </w:rPr>
        <w:t>此外，揭弊者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所屬的政府機關、法人、團體或雇主，不得主張扣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抵揭弊者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依法令所得領取之檢舉獎金。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7F655C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Q11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如果揭弊內容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涉及國家機密或營業秘密，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會負洩密責任嗎？</w:t>
      </w:r>
    </w:p>
    <w:p w:rsidR="00E02834" w:rsidRPr="00E02834" w:rsidRDefault="00E02834" w:rsidP="007F655C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A11</w:t>
      </w:r>
      <w:r w:rsidRPr="00E02834">
        <w:rPr>
          <w:rFonts w:ascii="Times New Roman" w:eastAsia="標楷體" w:hAnsi="Times New Roman" w:hint="eastAsia"/>
          <w:sz w:val="32"/>
        </w:rPr>
        <w:t>：若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依本法程序向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受理揭弊機關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所陳述的內容涉及國家機密、營業秘密或其他依法應保密之事項者，不負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洩密之民事、刑事、行政及職業倫理之懲戒責任</w:t>
      </w:r>
      <w:r w:rsidRPr="00E02834">
        <w:rPr>
          <w:rFonts w:ascii="Times New Roman" w:eastAsia="標楷體" w:hAnsi="Times New Roman" w:hint="eastAsia"/>
          <w:sz w:val="32"/>
        </w:rPr>
        <w:t>。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向律師徵詢法律意見時，若涉及前述保密事項，亦同。</w:t>
      </w:r>
    </w:p>
    <w:p w:rsidR="00E02834" w:rsidRPr="00E02834" w:rsidRDefault="00E02834" w:rsidP="00E02834">
      <w:pPr>
        <w:jc w:val="both"/>
        <w:rPr>
          <w:rFonts w:ascii="Times New Roman" w:eastAsia="標楷體" w:hAnsi="Times New Roman"/>
          <w:sz w:val="32"/>
        </w:rPr>
      </w:pPr>
    </w:p>
    <w:p w:rsidR="00E02834" w:rsidRPr="00E02834" w:rsidRDefault="00E02834" w:rsidP="00E02834">
      <w:pPr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Q12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若是弊案的共犯或正犯，是否仍能受到保護？</w:t>
      </w:r>
    </w:p>
    <w:p w:rsidR="00E02834" w:rsidRPr="00E02834" w:rsidRDefault="00E02834" w:rsidP="007F655C">
      <w:pPr>
        <w:ind w:left="720" w:hangingChars="225" w:hanging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A12</w:t>
      </w:r>
      <w:r w:rsidRPr="00E02834">
        <w:rPr>
          <w:rFonts w:ascii="Times New Roman" w:eastAsia="標楷體" w:hAnsi="Times New Roman" w:hint="eastAsia"/>
          <w:sz w:val="32"/>
        </w:rPr>
        <w:t>：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揭弊者若是揭弊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內容所涉犯罪的正犯或共犯，若符合《證人保護法》的特定要件，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得依該法予以減輕或免除其刑</w:t>
      </w:r>
      <w:r w:rsidRPr="00E02834">
        <w:rPr>
          <w:rFonts w:ascii="Times New Roman" w:eastAsia="標楷體" w:hAnsi="Times New Roman" w:hint="eastAsia"/>
          <w:sz w:val="32"/>
        </w:rPr>
        <w:t>，且不受該法所列罪名的限制。</w:t>
      </w:r>
    </w:p>
    <w:p w:rsidR="00E02834" w:rsidRPr="00E02834" w:rsidRDefault="00E02834" w:rsidP="007F655C">
      <w:pPr>
        <w:ind w:leftChars="300" w:left="720"/>
        <w:jc w:val="both"/>
        <w:rPr>
          <w:rFonts w:ascii="Times New Roman" w:eastAsia="標楷體" w:hAnsi="Times New Roman" w:hint="eastAsia"/>
          <w:sz w:val="32"/>
        </w:rPr>
      </w:pPr>
      <w:r w:rsidRPr="00E02834">
        <w:rPr>
          <w:rFonts w:ascii="Times New Roman" w:eastAsia="標楷體" w:hAnsi="Times New Roman" w:hint="eastAsia"/>
          <w:sz w:val="32"/>
        </w:rPr>
        <w:t>經法院判決免除其刑確定的</w:t>
      </w:r>
      <w:proofErr w:type="gramStart"/>
      <w:r w:rsidRPr="00E02834">
        <w:rPr>
          <w:rFonts w:ascii="Times New Roman" w:eastAsia="標楷體" w:hAnsi="Times New Roman" w:hint="eastAsia"/>
          <w:sz w:val="32"/>
        </w:rPr>
        <w:t>揭弊者</w:t>
      </w:r>
      <w:proofErr w:type="gramEnd"/>
      <w:r w:rsidRPr="00E02834">
        <w:rPr>
          <w:rFonts w:ascii="Times New Roman" w:eastAsia="標楷體" w:hAnsi="Times New Roman" w:hint="eastAsia"/>
          <w:sz w:val="32"/>
        </w:rPr>
        <w:t>，</w:t>
      </w:r>
      <w:r w:rsidRPr="007F655C">
        <w:rPr>
          <w:rFonts w:ascii="Times New Roman" w:eastAsia="標楷體" w:hAnsi="Times New Roman" w:hint="eastAsia"/>
          <w:b/>
          <w:color w:val="FF0000"/>
          <w:sz w:val="32"/>
        </w:rPr>
        <w:t>再任公職案件</w:t>
      </w:r>
      <w:r w:rsidRPr="00E02834">
        <w:rPr>
          <w:rFonts w:ascii="Times New Roman" w:eastAsia="標楷體" w:hAnsi="Times New Roman" w:hint="eastAsia"/>
          <w:sz w:val="32"/>
        </w:rPr>
        <w:t>得不受《公務人員任用法》關於免刑的限制。</w:t>
      </w:r>
    </w:p>
    <w:sectPr w:rsidR="00E02834" w:rsidRPr="00E02834" w:rsidSect="001247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34"/>
    <w:rsid w:val="001247CB"/>
    <w:rsid w:val="0046551E"/>
    <w:rsid w:val="007F655C"/>
    <w:rsid w:val="00B6343E"/>
    <w:rsid w:val="00E02834"/>
    <w:rsid w:val="00E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1D67"/>
  <w15:chartTrackingRefBased/>
  <w15:docId w15:val="{2C2F93FF-B50B-4BDF-8F1E-1BFB622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user</cp:lastModifiedBy>
  <cp:revision>3</cp:revision>
  <dcterms:created xsi:type="dcterms:W3CDTF">2025-09-25T02:45:00Z</dcterms:created>
  <dcterms:modified xsi:type="dcterms:W3CDTF">2025-09-25T03:54:00Z</dcterms:modified>
</cp:coreProperties>
</file>