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E5A" w:rsidRDefault="001359D9">
      <w:pPr>
        <w:pStyle w:val="Standard"/>
        <w:jc w:val="center"/>
        <w:rPr>
          <w:rFonts w:eastAsia="標楷體"/>
          <w:b/>
          <w:bCs/>
          <w:sz w:val="32"/>
          <w:szCs w:val="32"/>
        </w:rPr>
      </w:pPr>
      <w:bookmarkStart w:id="0" w:name="_GoBack"/>
      <w:r>
        <w:rPr>
          <w:rFonts w:eastAsia="標楷體"/>
          <w:b/>
          <w:bCs/>
          <w:sz w:val="32"/>
          <w:szCs w:val="32"/>
        </w:rPr>
        <w:t>國家人權博物館推動不義遺址保存維護與人權事務發展補助作業要點</w:t>
      </w:r>
    </w:p>
    <w:bookmarkEnd w:id="0"/>
    <w:p w:rsidR="00786E5A" w:rsidRDefault="001359D9">
      <w:pPr>
        <w:pStyle w:val="Standard"/>
        <w:jc w:val="right"/>
      </w:pPr>
      <w:r>
        <w:rPr>
          <w:rFonts w:ascii="標楷體" w:eastAsia="標楷體" w:hAnsi="標楷體"/>
          <w:sz w:val="22"/>
        </w:rPr>
        <w:t>中華民國</w:t>
      </w:r>
      <w:r>
        <w:rPr>
          <w:rFonts w:ascii="標楷體" w:eastAsia="標楷體" w:hAnsi="標楷體"/>
          <w:sz w:val="22"/>
        </w:rPr>
        <w:t>107</w:t>
      </w:r>
      <w:r>
        <w:rPr>
          <w:rFonts w:ascii="標楷體" w:eastAsia="標楷體" w:hAnsi="標楷體"/>
          <w:sz w:val="22"/>
        </w:rPr>
        <w:t>年</w:t>
      </w:r>
      <w:r>
        <w:rPr>
          <w:rFonts w:ascii="標楷體" w:eastAsia="標楷體" w:hAnsi="標楷體"/>
          <w:sz w:val="22"/>
        </w:rPr>
        <w:t>7</w:t>
      </w:r>
      <w:r>
        <w:rPr>
          <w:rFonts w:ascii="標楷體" w:eastAsia="標楷體" w:hAnsi="標楷體"/>
          <w:sz w:val="22"/>
        </w:rPr>
        <w:t>月</w:t>
      </w:r>
      <w:r>
        <w:rPr>
          <w:rFonts w:ascii="標楷體" w:eastAsia="標楷體" w:hAnsi="標楷體"/>
          <w:sz w:val="22"/>
        </w:rPr>
        <w:t>5</w:t>
      </w:r>
      <w:r>
        <w:rPr>
          <w:rFonts w:ascii="標楷體" w:eastAsia="標楷體" w:hAnsi="標楷體"/>
          <w:sz w:val="22"/>
        </w:rPr>
        <w:t>日人權典字第</w:t>
      </w:r>
      <w:r>
        <w:rPr>
          <w:rFonts w:ascii="標楷體" w:eastAsia="標楷體" w:hAnsi="標楷體"/>
          <w:sz w:val="22"/>
        </w:rPr>
        <w:t>10720015981</w:t>
      </w:r>
      <w:r>
        <w:rPr>
          <w:rFonts w:ascii="標楷體" w:eastAsia="標楷體" w:hAnsi="標楷體"/>
          <w:sz w:val="22"/>
        </w:rPr>
        <w:t>號令訂定</w:t>
      </w:r>
    </w:p>
    <w:p w:rsidR="00786E5A" w:rsidRDefault="00786E5A">
      <w:pPr>
        <w:pStyle w:val="Textbody"/>
        <w:spacing w:line="440" w:lineRule="exact"/>
        <w:jc w:val="both"/>
        <w:rPr>
          <w:rFonts w:ascii="標楷體" w:eastAsia="標楷體" w:hAnsi="標楷體"/>
          <w:sz w:val="28"/>
          <w:szCs w:val="28"/>
        </w:rPr>
      </w:pPr>
    </w:p>
    <w:p w:rsidR="00786E5A" w:rsidRDefault="001359D9">
      <w:pPr>
        <w:pStyle w:val="a3"/>
        <w:tabs>
          <w:tab w:val="left" w:pos="732"/>
        </w:tabs>
        <w:spacing w:line="440" w:lineRule="exact"/>
        <w:ind w:left="624" w:hanging="567"/>
        <w:jc w:val="both"/>
        <w:rPr>
          <w:rFonts w:ascii="標楷體" w:eastAsia="標楷體" w:hAnsi="標楷體"/>
          <w:sz w:val="28"/>
          <w:szCs w:val="28"/>
        </w:rPr>
      </w:pPr>
      <w:r>
        <w:rPr>
          <w:rFonts w:ascii="標楷體" w:eastAsia="標楷體" w:hAnsi="標楷體"/>
          <w:sz w:val="28"/>
          <w:szCs w:val="28"/>
        </w:rPr>
        <w:t>一、國家人權博物館（以下簡稱本館）為保存臺灣白色恐怖時期相關不義遺址，透過空間規劃強化相關紀念場域之永續經營，推動不義遺址之調查與研究，並輔導各縣市政府推動人權展覽、教育推廣、國際合作交流與人權事務發展，特訂定本作業要點。</w:t>
      </w:r>
    </w:p>
    <w:p w:rsidR="00786E5A" w:rsidRDefault="001359D9">
      <w:pPr>
        <w:pStyle w:val="a3"/>
        <w:spacing w:line="440" w:lineRule="exact"/>
        <w:ind w:left="0"/>
        <w:rPr>
          <w:rFonts w:ascii="標楷體" w:eastAsia="標楷體" w:hAnsi="標楷體"/>
          <w:sz w:val="28"/>
          <w:szCs w:val="28"/>
        </w:rPr>
      </w:pPr>
      <w:r>
        <w:rPr>
          <w:rFonts w:ascii="標楷體" w:eastAsia="標楷體" w:hAnsi="標楷體"/>
          <w:sz w:val="28"/>
          <w:szCs w:val="28"/>
        </w:rPr>
        <w:t>二、補助對象：直轄巿及縣（巿）政府。</w:t>
      </w:r>
    </w:p>
    <w:p w:rsidR="00786E5A" w:rsidRDefault="001359D9">
      <w:pPr>
        <w:pStyle w:val="a3"/>
        <w:spacing w:line="440" w:lineRule="exact"/>
        <w:ind w:left="0"/>
        <w:rPr>
          <w:rFonts w:ascii="標楷體" w:eastAsia="標楷體" w:hAnsi="標楷體"/>
          <w:sz w:val="28"/>
          <w:szCs w:val="28"/>
        </w:rPr>
      </w:pPr>
      <w:r>
        <w:rPr>
          <w:rFonts w:ascii="標楷體" w:eastAsia="標楷體" w:hAnsi="標楷體"/>
          <w:sz w:val="28"/>
          <w:szCs w:val="28"/>
        </w:rPr>
        <w:t>三、補助類別：</w:t>
      </w:r>
    </w:p>
    <w:p w:rsidR="00786E5A" w:rsidRDefault="001359D9">
      <w:pPr>
        <w:pStyle w:val="a3"/>
        <w:spacing w:line="440" w:lineRule="exact"/>
        <w:ind w:left="737" w:hanging="567"/>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不義遺址場域保存維護：建立不義遺址相關紀念物、紀念碑、周邊環境整理（如空間修繕）等。</w:t>
      </w:r>
    </w:p>
    <w:p w:rsidR="00786E5A" w:rsidRDefault="001359D9">
      <w:pPr>
        <w:pStyle w:val="a3"/>
        <w:spacing w:line="440" w:lineRule="exact"/>
        <w:ind w:left="21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不義遺址研究調查、出版或應用計畫。</w:t>
      </w:r>
    </w:p>
    <w:p w:rsidR="00786E5A" w:rsidRDefault="001359D9">
      <w:pPr>
        <w:pStyle w:val="a3"/>
        <w:spacing w:line="440" w:lineRule="exact"/>
        <w:ind w:left="737" w:hanging="567"/>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不義遺址活化與人權教育推廣：展覽、演出、教育推廣活動、人才培育、人權事務合作</w:t>
      </w:r>
      <w:r>
        <w:rPr>
          <w:rFonts w:ascii="標楷體" w:eastAsia="標楷體" w:hAnsi="標楷體"/>
          <w:sz w:val="28"/>
          <w:szCs w:val="28"/>
        </w:rPr>
        <w:t>(</w:t>
      </w:r>
      <w:r>
        <w:rPr>
          <w:rFonts w:ascii="標楷體" w:eastAsia="標楷體" w:hAnsi="標楷體"/>
          <w:sz w:val="28"/>
          <w:szCs w:val="28"/>
        </w:rPr>
        <w:t>含國際交流</w:t>
      </w:r>
      <w:r>
        <w:rPr>
          <w:rFonts w:ascii="標楷體" w:eastAsia="標楷體" w:hAnsi="標楷體"/>
          <w:sz w:val="28"/>
          <w:szCs w:val="28"/>
        </w:rPr>
        <w:t>)</w:t>
      </w:r>
      <w:r>
        <w:rPr>
          <w:rFonts w:ascii="標楷體" w:eastAsia="標楷體" w:hAnsi="標楷體"/>
          <w:sz w:val="28"/>
          <w:szCs w:val="28"/>
        </w:rPr>
        <w:t>等。</w:t>
      </w:r>
    </w:p>
    <w:p w:rsidR="00786E5A" w:rsidRDefault="001359D9">
      <w:pPr>
        <w:pStyle w:val="a3"/>
        <w:spacing w:line="440" w:lineRule="exact"/>
        <w:ind w:left="0"/>
        <w:jc w:val="both"/>
        <w:rPr>
          <w:rFonts w:ascii="標楷體" w:eastAsia="標楷體" w:hAnsi="標楷體"/>
          <w:sz w:val="28"/>
          <w:szCs w:val="28"/>
        </w:rPr>
      </w:pPr>
      <w:r>
        <w:rPr>
          <w:rFonts w:ascii="標楷體" w:eastAsia="標楷體" w:hAnsi="標楷體"/>
          <w:sz w:val="28"/>
          <w:szCs w:val="28"/>
        </w:rPr>
        <w:t>四、補助款用途：</w:t>
      </w:r>
    </w:p>
    <w:p w:rsidR="00786E5A" w:rsidRDefault="001359D9">
      <w:pPr>
        <w:pStyle w:val="a3"/>
        <w:spacing w:line="440" w:lineRule="exact"/>
        <w:ind w:left="737" w:hanging="567"/>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本要點補助經費包含資本門及經常門，直轄市及縣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政府辦理與前點補助類別相關計畫所需之公有使用空間軟硬體規劃，與資本門經費支出。經核定之資本門經費不得流用經常門。不補助項目為經常門之行政管理費、人事</w:t>
      </w:r>
      <w:r>
        <w:rPr>
          <w:rFonts w:ascii="標楷體" w:eastAsia="標楷體" w:hAnsi="標楷體"/>
          <w:sz w:val="28"/>
          <w:szCs w:val="28"/>
        </w:rPr>
        <w:t>費及辦公室庶務性設備費等基本營運費。</w:t>
      </w:r>
    </w:p>
    <w:p w:rsidR="00786E5A" w:rsidRDefault="001359D9">
      <w:pPr>
        <w:pStyle w:val="a3"/>
        <w:spacing w:line="440" w:lineRule="exact"/>
        <w:ind w:left="738"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直轄市及縣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政府辦理與前點補助類別相關計畫所需公有使用空間之軟硬體規劃，與硬體改善提升等資本門經費支出。</w:t>
      </w:r>
    </w:p>
    <w:p w:rsidR="00786E5A" w:rsidRDefault="001359D9">
      <w:pPr>
        <w:pStyle w:val="a3"/>
        <w:spacing w:line="440" w:lineRule="exact"/>
        <w:ind w:left="74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直轄市及縣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政府辦理不義遺址研究調查、資料蒐集、教育推廣活動所需之演出費、創作費、場地費、租借費、國際交流費</w:t>
      </w:r>
      <w:r>
        <w:rPr>
          <w:rFonts w:ascii="標楷體" w:eastAsia="標楷體" w:hAnsi="標楷體"/>
          <w:sz w:val="28"/>
          <w:szCs w:val="28"/>
        </w:rPr>
        <w:t>(</w:t>
      </w:r>
      <w:r>
        <w:rPr>
          <w:rFonts w:ascii="標楷體" w:eastAsia="標楷體" w:hAnsi="標楷體"/>
          <w:sz w:val="28"/>
          <w:szCs w:val="28"/>
        </w:rPr>
        <w:t>如國外人士來臺之機票費、住宿費或翻譯費</w:t>
      </w:r>
      <w:r>
        <w:rPr>
          <w:rFonts w:ascii="標楷體" w:eastAsia="標楷體" w:hAnsi="標楷體"/>
          <w:sz w:val="28"/>
          <w:szCs w:val="28"/>
        </w:rPr>
        <w:t>)</w:t>
      </w:r>
      <w:r>
        <w:rPr>
          <w:rFonts w:ascii="標楷體" w:eastAsia="標楷體" w:hAnsi="標楷體"/>
          <w:sz w:val="28"/>
          <w:szCs w:val="28"/>
        </w:rPr>
        <w:t>、文宣費、稿費、授權費等經常門經費支出。</w:t>
      </w:r>
    </w:p>
    <w:p w:rsidR="00786E5A" w:rsidRDefault="001359D9">
      <w:pPr>
        <w:pStyle w:val="a3"/>
        <w:spacing w:line="440" w:lineRule="exact"/>
        <w:ind w:left="0"/>
        <w:jc w:val="both"/>
        <w:rPr>
          <w:rFonts w:ascii="標楷體" w:eastAsia="標楷體" w:hAnsi="標楷體"/>
          <w:sz w:val="28"/>
          <w:szCs w:val="28"/>
        </w:rPr>
      </w:pPr>
      <w:r>
        <w:rPr>
          <w:rFonts w:ascii="標楷體" w:eastAsia="標楷體" w:hAnsi="標楷體"/>
          <w:sz w:val="28"/>
          <w:szCs w:val="28"/>
        </w:rPr>
        <w:t>五、補助經費機制及原則：</w:t>
      </w:r>
    </w:p>
    <w:p w:rsidR="00786E5A" w:rsidRDefault="001359D9">
      <w:pPr>
        <w:pStyle w:val="a3"/>
        <w:spacing w:line="440" w:lineRule="exact"/>
        <w:ind w:left="74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對各直轄巿及縣（巿）政府之補助，依據行政院主計總處核定之直轄市及縣（市）政府財力分級級次，每一申請計畫最高補助比率以下列規定為上限，且每一年度每案計畫補助金額不得逾新臺幣二百萬元；受補助單位應依規定編列地方配合款，納入預算辦理。</w:t>
      </w:r>
    </w:p>
    <w:p w:rsidR="00786E5A" w:rsidRDefault="001359D9">
      <w:pPr>
        <w:pStyle w:val="a3"/>
        <w:numPr>
          <w:ilvl w:val="2"/>
          <w:numId w:val="1"/>
        </w:numPr>
        <w:spacing w:line="440" w:lineRule="exact"/>
        <w:ind w:left="462" w:firstLine="0"/>
        <w:jc w:val="both"/>
        <w:rPr>
          <w:rFonts w:ascii="標楷體" w:eastAsia="標楷體" w:hAnsi="標楷體"/>
          <w:sz w:val="28"/>
          <w:szCs w:val="28"/>
        </w:rPr>
      </w:pPr>
      <w:r>
        <w:rPr>
          <w:rFonts w:ascii="標楷體" w:eastAsia="標楷體" w:hAnsi="標楷體"/>
          <w:sz w:val="28"/>
          <w:szCs w:val="28"/>
        </w:rPr>
        <w:t>第一級為核定計畫總經費百分之五十。</w:t>
      </w:r>
    </w:p>
    <w:p w:rsidR="00786E5A" w:rsidRDefault="001359D9">
      <w:pPr>
        <w:pStyle w:val="a3"/>
        <w:numPr>
          <w:ilvl w:val="2"/>
          <w:numId w:val="1"/>
        </w:numPr>
        <w:spacing w:line="440" w:lineRule="exact"/>
        <w:ind w:left="462" w:firstLine="0"/>
        <w:jc w:val="both"/>
        <w:rPr>
          <w:rFonts w:ascii="標楷體" w:eastAsia="標楷體" w:hAnsi="標楷體"/>
          <w:sz w:val="28"/>
          <w:szCs w:val="28"/>
        </w:rPr>
      </w:pPr>
      <w:r>
        <w:rPr>
          <w:rFonts w:ascii="標楷體" w:eastAsia="標楷體" w:hAnsi="標楷體"/>
          <w:sz w:val="28"/>
          <w:szCs w:val="28"/>
        </w:rPr>
        <w:t>第二級為核定計畫總經費百分之六十。</w:t>
      </w:r>
    </w:p>
    <w:p w:rsidR="00786E5A" w:rsidRDefault="001359D9">
      <w:pPr>
        <w:pStyle w:val="a3"/>
        <w:numPr>
          <w:ilvl w:val="2"/>
          <w:numId w:val="1"/>
        </w:numPr>
        <w:spacing w:line="440" w:lineRule="exact"/>
        <w:ind w:left="462" w:firstLine="0"/>
        <w:jc w:val="both"/>
        <w:rPr>
          <w:rFonts w:ascii="標楷體" w:eastAsia="標楷體" w:hAnsi="標楷體"/>
          <w:sz w:val="28"/>
          <w:szCs w:val="28"/>
        </w:rPr>
      </w:pPr>
      <w:r>
        <w:rPr>
          <w:rFonts w:ascii="標楷體" w:eastAsia="標楷體" w:hAnsi="標楷體"/>
          <w:sz w:val="28"/>
          <w:szCs w:val="28"/>
        </w:rPr>
        <w:t>第三級為核定計畫總經費百分之七十。</w:t>
      </w:r>
    </w:p>
    <w:p w:rsidR="00786E5A" w:rsidRDefault="001359D9">
      <w:pPr>
        <w:pStyle w:val="a3"/>
        <w:numPr>
          <w:ilvl w:val="2"/>
          <w:numId w:val="1"/>
        </w:numPr>
        <w:spacing w:line="440" w:lineRule="exact"/>
        <w:ind w:left="462" w:firstLine="0"/>
        <w:jc w:val="both"/>
        <w:rPr>
          <w:rFonts w:ascii="標楷體" w:eastAsia="標楷體" w:hAnsi="標楷體"/>
          <w:sz w:val="28"/>
          <w:szCs w:val="28"/>
        </w:rPr>
      </w:pPr>
      <w:r>
        <w:rPr>
          <w:rFonts w:ascii="標楷體" w:eastAsia="標楷體" w:hAnsi="標楷體"/>
          <w:sz w:val="28"/>
          <w:szCs w:val="28"/>
        </w:rPr>
        <w:t>第四級為核定計畫總經費百分之八十。</w:t>
      </w:r>
    </w:p>
    <w:p w:rsidR="00786E5A" w:rsidRDefault="001359D9">
      <w:pPr>
        <w:pStyle w:val="a3"/>
        <w:numPr>
          <w:ilvl w:val="2"/>
          <w:numId w:val="1"/>
        </w:numPr>
        <w:spacing w:line="440" w:lineRule="exact"/>
        <w:ind w:left="462" w:firstLine="0"/>
        <w:jc w:val="both"/>
        <w:rPr>
          <w:rFonts w:ascii="標楷體" w:eastAsia="標楷體" w:hAnsi="標楷體"/>
          <w:sz w:val="28"/>
          <w:szCs w:val="28"/>
        </w:rPr>
      </w:pPr>
      <w:r>
        <w:rPr>
          <w:rFonts w:ascii="標楷體" w:eastAsia="標楷體" w:hAnsi="標楷體"/>
          <w:sz w:val="28"/>
          <w:szCs w:val="28"/>
        </w:rPr>
        <w:lastRenderedPageBreak/>
        <w:t>第五級為核定計畫總經費百分之九十。</w:t>
      </w:r>
    </w:p>
    <w:p w:rsidR="00786E5A" w:rsidRDefault="001359D9">
      <w:pPr>
        <w:pStyle w:val="a3"/>
        <w:spacing w:line="440" w:lineRule="exact"/>
        <w:ind w:left="74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本館得視各年度立法院審議通過預算額度調整各補助案年度核定經費，如本要點所需預算未獲立法院審</w:t>
      </w:r>
      <w:r>
        <w:rPr>
          <w:rFonts w:ascii="標楷體" w:eastAsia="標楷體" w:hAnsi="標楷體"/>
          <w:sz w:val="28"/>
          <w:szCs w:val="28"/>
        </w:rPr>
        <w:t>議通過或經部分刪減，本館得刪除或調整原核定之補助額度，受補助單位並須依最終核定之補助經費調整計畫內容。</w:t>
      </w:r>
    </w:p>
    <w:p w:rsidR="00786E5A" w:rsidRDefault="001359D9">
      <w:pPr>
        <w:pStyle w:val="a3"/>
        <w:spacing w:line="440" w:lineRule="exact"/>
        <w:ind w:left="0"/>
        <w:jc w:val="both"/>
        <w:rPr>
          <w:rFonts w:ascii="標楷體" w:eastAsia="標楷體" w:hAnsi="標楷體"/>
          <w:sz w:val="28"/>
          <w:szCs w:val="28"/>
        </w:rPr>
      </w:pPr>
      <w:r>
        <w:rPr>
          <w:rFonts w:ascii="標楷體" w:eastAsia="標楷體" w:hAnsi="標楷體"/>
          <w:sz w:val="28"/>
          <w:szCs w:val="28"/>
        </w:rPr>
        <w:t>六、申請日期及程序：</w:t>
      </w:r>
    </w:p>
    <w:p w:rsidR="00786E5A" w:rsidRDefault="001359D9">
      <w:pPr>
        <w:pStyle w:val="a3"/>
        <w:spacing w:line="440" w:lineRule="exact"/>
        <w:ind w:left="21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申請日期：依本館公告辦理。</w:t>
      </w:r>
    </w:p>
    <w:p w:rsidR="00786E5A" w:rsidRDefault="001359D9">
      <w:pPr>
        <w:pStyle w:val="a3"/>
        <w:spacing w:line="440" w:lineRule="exact"/>
        <w:ind w:left="74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申請程序：申請單位應備函檢具申請表及計畫書一式十份，於申請期限內向本館提出申請。上述文件格式，由本館另行公告之。</w:t>
      </w:r>
    </w:p>
    <w:p w:rsidR="00786E5A" w:rsidRDefault="001359D9">
      <w:pPr>
        <w:pStyle w:val="a3"/>
        <w:spacing w:line="440" w:lineRule="exact"/>
        <w:ind w:left="0"/>
        <w:jc w:val="both"/>
        <w:rPr>
          <w:rFonts w:ascii="標楷體" w:eastAsia="標楷體" w:hAnsi="標楷體"/>
          <w:sz w:val="28"/>
          <w:szCs w:val="28"/>
        </w:rPr>
      </w:pPr>
      <w:r>
        <w:rPr>
          <w:rFonts w:ascii="標楷體" w:eastAsia="標楷體" w:hAnsi="標楷體"/>
          <w:sz w:val="28"/>
          <w:szCs w:val="28"/>
        </w:rPr>
        <w:t>七、執行期程：</w:t>
      </w:r>
    </w:p>
    <w:p w:rsidR="00786E5A" w:rsidRDefault="001359D9">
      <w:pPr>
        <w:pStyle w:val="a3"/>
        <w:spacing w:line="440" w:lineRule="exact"/>
        <w:ind w:left="74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自本館書面通知同意補助計畫之日起至當年度十一月三十日前完成，以單一年度執行完畢為原則。</w:t>
      </w:r>
    </w:p>
    <w:p w:rsidR="00786E5A" w:rsidRDefault="001359D9">
      <w:pPr>
        <w:pStyle w:val="a3"/>
        <w:spacing w:line="440" w:lineRule="exact"/>
        <w:ind w:left="74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若計畫因故無法於計畫年度執行完畢，應於計畫執行期程結束二個月前向本館申請調整計畫，經本館核准後始能展延。</w:t>
      </w:r>
    </w:p>
    <w:p w:rsidR="00786E5A" w:rsidRDefault="001359D9">
      <w:pPr>
        <w:pStyle w:val="a3"/>
        <w:spacing w:line="440" w:lineRule="exact"/>
        <w:ind w:left="0"/>
        <w:jc w:val="both"/>
        <w:rPr>
          <w:rFonts w:ascii="標楷體" w:eastAsia="標楷體" w:hAnsi="標楷體"/>
          <w:sz w:val="28"/>
          <w:szCs w:val="28"/>
        </w:rPr>
      </w:pPr>
      <w:r>
        <w:rPr>
          <w:rFonts w:ascii="標楷體" w:eastAsia="標楷體" w:hAnsi="標楷體"/>
          <w:sz w:val="28"/>
          <w:szCs w:val="28"/>
        </w:rPr>
        <w:t>八、審查方</w:t>
      </w:r>
      <w:r>
        <w:rPr>
          <w:rFonts w:ascii="標楷體" w:eastAsia="標楷體" w:hAnsi="標楷體"/>
          <w:sz w:val="28"/>
          <w:szCs w:val="28"/>
        </w:rPr>
        <w:t>式及標準：</w:t>
      </w:r>
    </w:p>
    <w:p w:rsidR="00786E5A" w:rsidRDefault="001359D9">
      <w:pPr>
        <w:pStyle w:val="a3"/>
        <w:spacing w:line="440" w:lineRule="exact"/>
        <w:ind w:left="21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審查方式：</w:t>
      </w:r>
    </w:p>
    <w:p w:rsidR="00786E5A" w:rsidRDefault="001359D9">
      <w:pPr>
        <w:pStyle w:val="a3"/>
        <w:numPr>
          <w:ilvl w:val="1"/>
          <w:numId w:val="2"/>
        </w:numPr>
        <w:spacing w:line="440" w:lineRule="exact"/>
        <w:ind w:left="816" w:hanging="357"/>
        <w:jc w:val="both"/>
        <w:rPr>
          <w:rFonts w:ascii="標楷體" w:eastAsia="標楷體" w:hAnsi="標楷體"/>
          <w:sz w:val="28"/>
          <w:szCs w:val="28"/>
        </w:rPr>
      </w:pPr>
      <w:r>
        <w:rPr>
          <w:rFonts w:ascii="標楷體" w:eastAsia="標楷體" w:hAnsi="標楷體"/>
          <w:sz w:val="28"/>
          <w:szCs w:val="28"/>
        </w:rPr>
        <w:t>本館得聘請專家、學者若干人組成評審小組，審核申請案計畫書及補助金額。評審委員之迴避，依行政程序法第三十二條或第三十三條規定辦理。</w:t>
      </w:r>
    </w:p>
    <w:p w:rsidR="00786E5A" w:rsidRDefault="001359D9">
      <w:pPr>
        <w:pStyle w:val="a3"/>
        <w:numPr>
          <w:ilvl w:val="1"/>
          <w:numId w:val="2"/>
        </w:numPr>
        <w:spacing w:line="440" w:lineRule="exact"/>
        <w:ind w:left="816" w:hanging="357"/>
        <w:jc w:val="both"/>
        <w:rPr>
          <w:rFonts w:ascii="標楷體" w:eastAsia="標楷體" w:hAnsi="標楷體"/>
          <w:sz w:val="28"/>
          <w:szCs w:val="28"/>
        </w:rPr>
      </w:pPr>
      <w:r>
        <w:rPr>
          <w:rFonts w:ascii="標楷體" w:eastAsia="標楷體" w:hAnsi="標楷體"/>
          <w:sz w:val="28"/>
          <w:szCs w:val="28"/>
        </w:rPr>
        <w:t>審查程序：採初審及複審二階段評審程序。</w:t>
      </w:r>
    </w:p>
    <w:p w:rsidR="00786E5A" w:rsidRDefault="001359D9">
      <w:pPr>
        <w:pStyle w:val="a3"/>
        <w:numPr>
          <w:ilvl w:val="2"/>
          <w:numId w:val="2"/>
        </w:numPr>
        <w:spacing w:line="440" w:lineRule="exact"/>
        <w:ind w:left="515" w:firstLine="0"/>
        <w:jc w:val="both"/>
        <w:rPr>
          <w:rFonts w:ascii="標楷體" w:eastAsia="標楷體" w:hAnsi="標楷體"/>
          <w:sz w:val="28"/>
          <w:szCs w:val="28"/>
        </w:rPr>
      </w:pPr>
      <w:r>
        <w:rPr>
          <w:rFonts w:ascii="標楷體" w:eastAsia="標楷體" w:hAnsi="標楷體"/>
          <w:sz w:val="28"/>
          <w:szCs w:val="28"/>
        </w:rPr>
        <w:t>初審：就計畫書進行評審，並決定初審通過之計畫。</w:t>
      </w:r>
    </w:p>
    <w:p w:rsidR="00786E5A" w:rsidRDefault="001359D9">
      <w:pPr>
        <w:pStyle w:val="a3"/>
        <w:numPr>
          <w:ilvl w:val="2"/>
          <w:numId w:val="2"/>
        </w:numPr>
        <w:spacing w:line="440" w:lineRule="exact"/>
        <w:ind w:left="900" w:hanging="361"/>
        <w:jc w:val="both"/>
        <w:rPr>
          <w:rFonts w:ascii="標楷體" w:eastAsia="標楷體" w:hAnsi="標楷體"/>
          <w:sz w:val="28"/>
          <w:szCs w:val="28"/>
        </w:rPr>
      </w:pPr>
      <w:r>
        <w:rPr>
          <w:rFonts w:ascii="標楷體" w:eastAsia="標楷體" w:hAnsi="標楷體"/>
          <w:sz w:val="28"/>
          <w:szCs w:val="28"/>
        </w:rPr>
        <w:t>複審：初審入選之直轄巿及縣（巿）政府依據初審之意見提交修正計畫書，進行複審並建議補助金額。</w:t>
      </w:r>
    </w:p>
    <w:p w:rsidR="00786E5A" w:rsidRDefault="001359D9">
      <w:pPr>
        <w:pStyle w:val="a3"/>
        <w:spacing w:line="440" w:lineRule="exact"/>
        <w:ind w:left="74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評審標準：就計畫主題及內容之重要性、完整性及具體可行性，經費編列合理性及計畫之效益性等綜合考量。</w:t>
      </w:r>
    </w:p>
    <w:p w:rsidR="00786E5A" w:rsidRDefault="001359D9">
      <w:pPr>
        <w:pStyle w:val="a3"/>
        <w:spacing w:line="440" w:lineRule="exact"/>
        <w:ind w:left="74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各申請案計畫書之審查結果，本館應以書面通知申請單位，並將評審委員及審查結果於本館資訊網路公告。</w:t>
      </w:r>
    </w:p>
    <w:p w:rsidR="00786E5A" w:rsidRDefault="001359D9">
      <w:pPr>
        <w:pStyle w:val="a3"/>
        <w:spacing w:line="440" w:lineRule="exact"/>
        <w:ind w:left="0"/>
        <w:jc w:val="both"/>
        <w:rPr>
          <w:rFonts w:ascii="標楷體" w:eastAsia="標楷體" w:hAnsi="標楷體"/>
          <w:sz w:val="28"/>
          <w:szCs w:val="28"/>
        </w:rPr>
      </w:pPr>
      <w:r>
        <w:rPr>
          <w:rFonts w:ascii="標楷體" w:eastAsia="標楷體" w:hAnsi="標楷體"/>
          <w:sz w:val="28"/>
          <w:szCs w:val="28"/>
        </w:rPr>
        <w:t>九、經費核撥流程：</w:t>
      </w:r>
    </w:p>
    <w:p w:rsidR="00786E5A" w:rsidRDefault="001359D9">
      <w:pPr>
        <w:pStyle w:val="a3"/>
        <w:spacing w:line="440" w:lineRule="exact"/>
        <w:ind w:left="21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年度執行計畫以分期撥付為原則。</w:t>
      </w:r>
    </w:p>
    <w:p w:rsidR="00786E5A" w:rsidRDefault="001359D9">
      <w:pPr>
        <w:pStyle w:val="a3"/>
        <w:spacing w:line="440" w:lineRule="exact"/>
        <w:ind w:left="21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各期應檢送文件：</w:t>
      </w:r>
    </w:p>
    <w:p w:rsidR="00786E5A" w:rsidRDefault="001359D9">
      <w:pPr>
        <w:pStyle w:val="a3"/>
        <w:numPr>
          <w:ilvl w:val="0"/>
          <w:numId w:val="3"/>
        </w:numPr>
        <w:spacing w:line="440" w:lineRule="exact"/>
        <w:ind w:left="816" w:hanging="357"/>
        <w:jc w:val="both"/>
        <w:rPr>
          <w:rFonts w:ascii="標楷體" w:eastAsia="標楷體" w:hAnsi="標楷體"/>
          <w:sz w:val="28"/>
          <w:szCs w:val="28"/>
        </w:rPr>
      </w:pPr>
      <w:r>
        <w:rPr>
          <w:rFonts w:ascii="標楷體" w:eastAsia="標楷體" w:hAnsi="標楷體"/>
          <w:sz w:val="28"/>
          <w:szCs w:val="28"/>
        </w:rPr>
        <w:t>第一期款：獲補助者檢送核定補助案之修正計畫書（含電子檔）、納入預算證明（若無法於申請撥款時納入當年度預算者，須檢附議會同意墊付函）、地方配合款編列證明，及第一期款收據，經審核通過後撥付執行計</w:t>
      </w:r>
      <w:r>
        <w:rPr>
          <w:rFonts w:ascii="標楷體" w:eastAsia="標楷體" w:hAnsi="標楷體"/>
          <w:sz w:val="28"/>
          <w:szCs w:val="28"/>
        </w:rPr>
        <w:lastRenderedPageBreak/>
        <w:t>畫總補助經費之百分之三十。</w:t>
      </w:r>
    </w:p>
    <w:p w:rsidR="00786E5A" w:rsidRDefault="001359D9">
      <w:pPr>
        <w:pStyle w:val="a3"/>
        <w:numPr>
          <w:ilvl w:val="0"/>
          <w:numId w:val="3"/>
        </w:numPr>
        <w:spacing w:line="440" w:lineRule="exact"/>
        <w:ind w:left="816" w:hanging="357"/>
        <w:jc w:val="both"/>
        <w:rPr>
          <w:rFonts w:ascii="標楷體" w:eastAsia="標楷體" w:hAnsi="標楷體"/>
          <w:sz w:val="28"/>
          <w:szCs w:val="28"/>
        </w:rPr>
      </w:pPr>
      <w:r>
        <w:rPr>
          <w:rFonts w:ascii="標楷體" w:eastAsia="標楷體" w:hAnsi="標楷體"/>
          <w:sz w:val="28"/>
          <w:szCs w:val="28"/>
        </w:rPr>
        <w:t>第二期款：獲補助者檢送期中報告書</w:t>
      </w:r>
      <w:r>
        <w:rPr>
          <w:rFonts w:ascii="標楷體" w:eastAsia="標楷體" w:hAnsi="標楷體"/>
          <w:sz w:val="28"/>
          <w:szCs w:val="28"/>
        </w:rPr>
        <w:t>(</w:t>
      </w:r>
      <w:r>
        <w:rPr>
          <w:rFonts w:ascii="標楷體" w:eastAsia="標楷體" w:hAnsi="標楷體"/>
          <w:sz w:val="28"/>
          <w:szCs w:val="28"/>
        </w:rPr>
        <w:t>含電子檔</w:t>
      </w:r>
      <w:r>
        <w:rPr>
          <w:rFonts w:ascii="標楷體" w:eastAsia="標楷體" w:hAnsi="標楷體"/>
          <w:sz w:val="28"/>
          <w:szCs w:val="28"/>
        </w:rPr>
        <w:t>)</w:t>
      </w:r>
      <w:r>
        <w:rPr>
          <w:rFonts w:ascii="標楷體" w:eastAsia="標楷體" w:hAnsi="標楷體"/>
          <w:sz w:val="28"/>
          <w:szCs w:val="28"/>
        </w:rPr>
        <w:t>、工作進度達百分之七十以上之報表資料、執行經費明細表（含地方配合款分擔比率）及第二期款收據，經審核通過後撥付執行計畫總補助經費之百分之四十。</w:t>
      </w:r>
    </w:p>
    <w:p w:rsidR="00786E5A" w:rsidRDefault="001359D9">
      <w:pPr>
        <w:pStyle w:val="a3"/>
        <w:numPr>
          <w:ilvl w:val="0"/>
          <w:numId w:val="3"/>
        </w:numPr>
        <w:spacing w:line="440" w:lineRule="exact"/>
        <w:ind w:left="816" w:hanging="357"/>
        <w:jc w:val="both"/>
        <w:rPr>
          <w:rFonts w:ascii="標楷體" w:eastAsia="標楷體" w:hAnsi="標楷體"/>
          <w:sz w:val="28"/>
          <w:szCs w:val="28"/>
        </w:rPr>
      </w:pPr>
      <w:r>
        <w:rPr>
          <w:rFonts w:ascii="標楷體" w:eastAsia="標楷體" w:hAnsi="標楷體"/>
          <w:sz w:val="28"/>
          <w:szCs w:val="28"/>
        </w:rPr>
        <w:t>第三期款：獲補助者應於計畫執行年度的十一月三十日前提送結案成果報告書（含全案電子檔</w:t>
      </w:r>
      <w:r>
        <w:rPr>
          <w:rFonts w:ascii="標楷體" w:eastAsia="標楷體" w:hAnsi="標楷體"/>
          <w:sz w:val="28"/>
          <w:szCs w:val="28"/>
        </w:rPr>
        <w:t xml:space="preserve">) </w:t>
      </w:r>
      <w:r>
        <w:rPr>
          <w:rFonts w:ascii="標楷體" w:eastAsia="標楷體" w:hAnsi="標楷體"/>
          <w:sz w:val="28"/>
          <w:szCs w:val="28"/>
        </w:rPr>
        <w:t>一式三份、全案結報經費明細表（含地方配合款分擔比率）、著作權相關文件及第三期款收據，資本門補助款需檢附驗收紀錄、結算驗收證明書或其他經本館同意之文件，經審核通過後撥付執行計畫總補助經費之百分之三十。結案成果報告書格式，由本館另行公告之。</w:t>
      </w:r>
    </w:p>
    <w:p w:rsidR="00786E5A" w:rsidRDefault="001359D9">
      <w:pPr>
        <w:pStyle w:val="a3"/>
        <w:spacing w:line="440" w:lineRule="exact"/>
        <w:ind w:left="0"/>
        <w:jc w:val="both"/>
        <w:rPr>
          <w:rFonts w:ascii="標楷體" w:eastAsia="標楷體" w:hAnsi="標楷體"/>
          <w:sz w:val="28"/>
          <w:szCs w:val="28"/>
        </w:rPr>
      </w:pPr>
      <w:r>
        <w:rPr>
          <w:rFonts w:ascii="標楷體" w:eastAsia="標楷體" w:hAnsi="標楷體"/>
          <w:sz w:val="28"/>
          <w:szCs w:val="28"/>
        </w:rPr>
        <w:t>十</w:t>
      </w:r>
      <w:r>
        <w:rPr>
          <w:rFonts w:ascii="標楷體" w:eastAsia="標楷體" w:hAnsi="標楷體"/>
          <w:sz w:val="28"/>
          <w:szCs w:val="28"/>
        </w:rPr>
        <w:t>、計畫執行及考核：</w:t>
      </w:r>
    </w:p>
    <w:p w:rsidR="00786E5A" w:rsidRDefault="001359D9">
      <w:pPr>
        <w:pStyle w:val="a3"/>
        <w:spacing w:line="440" w:lineRule="exact"/>
        <w:ind w:left="74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獲補助者應依核定補助計畫書內容確實執行，執行期間，本館得派員不定期訪查，以瞭解實際執行情形，並列為未來補助審核之依據。</w:t>
      </w:r>
    </w:p>
    <w:p w:rsidR="00786E5A" w:rsidRDefault="001359D9">
      <w:pPr>
        <w:pStyle w:val="a3"/>
        <w:spacing w:line="440" w:lineRule="exact"/>
        <w:ind w:left="74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獲補助之經費應專款專用，不得任意變更用途。核定補助之計畫書，若因執行需求須變更計畫書內容或因故無法履行，應報經本館審核同意後，始得辦理變更或終止。</w:t>
      </w:r>
    </w:p>
    <w:p w:rsidR="00786E5A" w:rsidRDefault="001359D9">
      <w:pPr>
        <w:pStyle w:val="a3"/>
        <w:spacing w:line="440" w:lineRule="exact"/>
        <w:ind w:left="74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獲補助者未依規定繳交成果資料、成果資料品質不良、未依核定期程辦理經費核銷、展期申請未通過等，本館得縮減或取消補助，並作為未來補助審核之參考。</w:t>
      </w:r>
    </w:p>
    <w:p w:rsidR="00786E5A" w:rsidRDefault="001359D9">
      <w:pPr>
        <w:pStyle w:val="a3"/>
        <w:spacing w:line="440" w:lineRule="exact"/>
        <w:ind w:left="74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獲補助計畫相關文宣資料（包括邀請函）除另有規定之外，應於明顯處載明本館為指導贊助單位（未依上述註明及標示者，本館得不予核銷），相關宣傳、記者會、座談、研習、演講及開閉幕式等重要場合，應於活動二週前通知本館。並應依預算法第六十二條之一規定，不得以置入性行銷進行政策宣導，如有政策宣導應標示其為「廣告」並註明機關名稱。</w:t>
      </w:r>
    </w:p>
    <w:p w:rsidR="00786E5A" w:rsidRDefault="001359D9">
      <w:pPr>
        <w:pStyle w:val="a3"/>
        <w:spacing w:line="440" w:lineRule="exact"/>
        <w:ind w:left="840" w:hanging="840"/>
        <w:jc w:val="both"/>
        <w:rPr>
          <w:rFonts w:ascii="標楷體" w:eastAsia="標楷體" w:hAnsi="標楷體"/>
          <w:sz w:val="28"/>
          <w:szCs w:val="28"/>
        </w:rPr>
      </w:pPr>
      <w:r>
        <w:rPr>
          <w:rFonts w:ascii="標楷體" w:eastAsia="標楷體" w:hAnsi="標楷體"/>
          <w:sz w:val="28"/>
          <w:szCs w:val="28"/>
        </w:rPr>
        <w:t>十一、對人權推廣及不義遺址保存維護具有重大助益及時效性之計畫，得依實際需要專款補助相關計畫，其申請時間及審查方式不受本要點第六點、第八點之限制。</w:t>
      </w:r>
    </w:p>
    <w:p w:rsidR="00786E5A" w:rsidRDefault="001359D9">
      <w:pPr>
        <w:pStyle w:val="Standard"/>
        <w:rPr>
          <w:rFonts w:eastAsia="標楷體"/>
          <w:sz w:val="28"/>
          <w:szCs w:val="28"/>
        </w:rPr>
      </w:pPr>
      <w:r>
        <w:rPr>
          <w:rFonts w:eastAsia="標楷體"/>
          <w:sz w:val="28"/>
          <w:szCs w:val="28"/>
        </w:rPr>
        <w:t>十二、注意事項：</w:t>
      </w:r>
    </w:p>
    <w:p w:rsidR="00786E5A" w:rsidRDefault="001359D9">
      <w:pPr>
        <w:pStyle w:val="a3"/>
        <w:spacing w:line="440" w:lineRule="exact"/>
        <w:ind w:left="74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基於避免重複補助原則</w:t>
      </w:r>
      <w:r>
        <w:rPr>
          <w:rFonts w:ascii="標楷體" w:eastAsia="標楷體" w:hAnsi="標楷體"/>
          <w:sz w:val="28"/>
          <w:szCs w:val="28"/>
        </w:rPr>
        <w:t>，同一提案補助項目內容不得重複獲文化部及附屬機關（構）、財團法人國家文化藝術基金會、行政法人國家表演藝術中心或其他政府機關（單位）補助。若經查有重複補助之情事，本館將撤銷該核定補助案及追繳補助款，並取消年度提案資格。</w:t>
      </w:r>
    </w:p>
    <w:p w:rsidR="00786E5A" w:rsidRDefault="001359D9">
      <w:pPr>
        <w:pStyle w:val="a3"/>
        <w:spacing w:line="440" w:lineRule="exact"/>
        <w:ind w:left="74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同一案件向二個以上機關提出申請補助，應列明全部經費內容，及向各</w:t>
      </w:r>
      <w:r>
        <w:rPr>
          <w:rFonts w:ascii="標楷體" w:eastAsia="標楷體" w:hAnsi="標楷體"/>
          <w:sz w:val="28"/>
          <w:szCs w:val="28"/>
        </w:rPr>
        <w:lastRenderedPageBreak/>
        <w:t>機關申請補助之項目及金額。如有隱匿不實或造假情事，本館將撤銷該核定補助案並追繳補助款，並取消年度提案資格。</w:t>
      </w:r>
    </w:p>
    <w:p w:rsidR="00786E5A" w:rsidRDefault="001359D9">
      <w:pPr>
        <w:pStyle w:val="a3"/>
        <w:spacing w:line="440" w:lineRule="exact"/>
        <w:ind w:left="74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獲補助者屬直轄市政府及縣（市）政府，其補助款應納入預算辦理，經核定之直轄市政府及縣（市）政府未及納入預算者，應編</w:t>
      </w:r>
      <w:r>
        <w:rPr>
          <w:rFonts w:ascii="標楷體" w:eastAsia="標楷體" w:hAnsi="標楷體"/>
          <w:sz w:val="28"/>
          <w:szCs w:val="28"/>
        </w:rPr>
        <w:t>列追加預算辦理。且執行核定補助計畫書有關事項，應依「中央對直轄市及縣（市）政府補助辦法」、「中央對直轄市及縣（市）政府申請計畫型補助款補助之處理原則」、「文化部對直轄市及縣市政府補助處理原則」、「政府採購法」及本要點等規定辦理。</w:t>
      </w:r>
    </w:p>
    <w:p w:rsidR="00786E5A" w:rsidRDefault="001359D9">
      <w:pPr>
        <w:pStyle w:val="a3"/>
        <w:numPr>
          <w:ilvl w:val="1"/>
          <w:numId w:val="4"/>
        </w:numPr>
        <w:spacing w:line="440" w:lineRule="exact"/>
        <w:ind w:left="816" w:hanging="357"/>
        <w:jc w:val="both"/>
        <w:rPr>
          <w:rFonts w:ascii="標楷體" w:eastAsia="標楷體" w:hAnsi="標楷體"/>
          <w:sz w:val="28"/>
          <w:szCs w:val="28"/>
        </w:rPr>
      </w:pPr>
      <w:r>
        <w:rPr>
          <w:rFonts w:ascii="標楷體" w:eastAsia="標楷體" w:hAnsi="標楷體"/>
          <w:sz w:val="28"/>
          <w:szCs w:val="28"/>
        </w:rPr>
        <w:t>獲補助直轄市及縣（市）政府如有違反本要點規定或其他相關法令，本館得撤銷補助款，並追繳已撥付款項。</w:t>
      </w:r>
    </w:p>
    <w:p w:rsidR="00786E5A" w:rsidRDefault="001359D9">
      <w:pPr>
        <w:pStyle w:val="a3"/>
        <w:numPr>
          <w:ilvl w:val="1"/>
          <w:numId w:val="4"/>
        </w:numPr>
        <w:spacing w:line="440" w:lineRule="exact"/>
        <w:ind w:left="816" w:hanging="357"/>
        <w:jc w:val="both"/>
        <w:rPr>
          <w:rFonts w:ascii="標楷體" w:eastAsia="標楷體" w:hAnsi="標楷體"/>
          <w:sz w:val="28"/>
          <w:szCs w:val="28"/>
        </w:rPr>
      </w:pPr>
      <w:r>
        <w:rPr>
          <w:rFonts w:ascii="標楷體" w:eastAsia="標楷體" w:hAnsi="標楷體"/>
          <w:sz w:val="28"/>
          <w:szCs w:val="28"/>
        </w:rPr>
        <w:t>獲補助直轄市及縣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政府執行過程遇有經費不足現象，應自行籌措財源配合，不得要求追加補助數額。執行結果如有剩餘款，應依本館補助比例繳回。</w:t>
      </w:r>
    </w:p>
    <w:p w:rsidR="00786E5A" w:rsidRDefault="001359D9">
      <w:pPr>
        <w:pStyle w:val="a3"/>
        <w:spacing w:line="440" w:lineRule="exact"/>
        <w:ind w:left="74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本館補助辦理之各項計畫成果報告資料及研究</w:t>
      </w:r>
      <w:r>
        <w:rPr>
          <w:rFonts w:ascii="標楷體" w:eastAsia="標楷體" w:hAnsi="標楷體"/>
          <w:sz w:val="28"/>
          <w:szCs w:val="28"/>
        </w:rPr>
        <w:t>成果（如文字紀錄、照片、影像、紀錄片、劇本、書籍及影音資料等）之著作財產權，應無償授權本館及本館再授權之第三人，依著作權法所舉之任何方式，為不限時間、次數及地域，運用於各項業務非營利推廣使用。本館得再授權第三人為上述使用，原創作單位不得對本館及本館再授權之第三人行使著作人格權。直轄市及縣（市）政府並應將相關讓與書、授權書（及著作權約定書）交付本館收存。</w:t>
      </w:r>
    </w:p>
    <w:p w:rsidR="00786E5A" w:rsidRDefault="001359D9">
      <w:pPr>
        <w:pStyle w:val="a3"/>
        <w:spacing w:line="440" w:lineRule="exact"/>
        <w:ind w:left="74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五</w:t>
      </w:r>
      <w:r>
        <w:rPr>
          <w:rFonts w:ascii="標楷體" w:eastAsia="標楷體" w:hAnsi="標楷體"/>
          <w:sz w:val="28"/>
          <w:szCs w:val="28"/>
        </w:rPr>
        <w:t>)</w:t>
      </w:r>
      <w:r>
        <w:rPr>
          <w:rFonts w:ascii="標楷體" w:eastAsia="標楷體" w:hAnsi="標楷體"/>
          <w:sz w:val="28"/>
          <w:szCs w:val="28"/>
        </w:rPr>
        <w:t>本要點補助所購置或建置之財產或設備，應持續運用於館舍，並依公有財產管理相關規定妥為管理；未來財產如有移動、撥出情形應函報本館。其維運使用之效能，將做為</w:t>
      </w:r>
      <w:r>
        <w:rPr>
          <w:rFonts w:ascii="標楷體" w:eastAsia="標楷體" w:hAnsi="標楷體"/>
          <w:sz w:val="28"/>
          <w:szCs w:val="28"/>
        </w:rPr>
        <w:t>申請本館相關補助事項審查之參據。</w:t>
      </w:r>
    </w:p>
    <w:p w:rsidR="00786E5A" w:rsidRDefault="001359D9">
      <w:pPr>
        <w:pStyle w:val="a3"/>
        <w:spacing w:line="440" w:lineRule="exact"/>
        <w:ind w:left="74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六</w:t>
      </w:r>
      <w:r>
        <w:rPr>
          <w:rFonts w:ascii="標楷體" w:eastAsia="標楷體" w:hAnsi="標楷體"/>
          <w:sz w:val="28"/>
          <w:szCs w:val="28"/>
        </w:rPr>
        <w:t>)</w:t>
      </w:r>
      <w:r>
        <w:rPr>
          <w:rFonts w:ascii="標楷體" w:eastAsia="標楷體" w:hAnsi="標楷體"/>
          <w:sz w:val="28"/>
          <w:szCs w:val="28"/>
        </w:rPr>
        <w:t>受補助計畫執行內容涉及建築物空間者，於計畫完成後其建築物之使用應符合建築法相關規定。</w:t>
      </w:r>
    </w:p>
    <w:p w:rsidR="00786E5A" w:rsidRDefault="001359D9">
      <w:pPr>
        <w:pStyle w:val="a3"/>
        <w:spacing w:line="440" w:lineRule="exact"/>
        <w:ind w:left="74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七</w:t>
      </w:r>
      <w:r>
        <w:rPr>
          <w:rFonts w:ascii="標楷體" w:eastAsia="標楷體" w:hAnsi="標楷體"/>
          <w:sz w:val="28"/>
          <w:szCs w:val="28"/>
        </w:rPr>
        <w:t>)</w:t>
      </w:r>
      <w:r>
        <w:rPr>
          <w:rFonts w:ascii="標楷體" w:eastAsia="標楷體" w:hAnsi="標楷體"/>
          <w:sz w:val="28"/>
          <w:szCs w:val="28"/>
        </w:rPr>
        <w:t>受補助之直轄市及縣（市）政府應依規定辦理建築物消防及公共安全檢查，並於辦理各項活動時，依規定辦理公共意外險，保障參與民眾之安全。</w:t>
      </w:r>
    </w:p>
    <w:p w:rsidR="00786E5A" w:rsidRDefault="001359D9">
      <w:pPr>
        <w:pStyle w:val="a3"/>
        <w:spacing w:line="440" w:lineRule="exact"/>
        <w:ind w:left="21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八</w:t>
      </w:r>
      <w:r>
        <w:rPr>
          <w:rFonts w:ascii="標楷體" w:eastAsia="標楷體" w:hAnsi="標楷體"/>
          <w:sz w:val="28"/>
          <w:szCs w:val="28"/>
        </w:rPr>
        <w:t>)</w:t>
      </w:r>
      <w:r>
        <w:rPr>
          <w:rFonts w:ascii="標楷體" w:eastAsia="標楷體" w:hAnsi="標楷體"/>
          <w:sz w:val="28"/>
          <w:szCs w:val="28"/>
        </w:rPr>
        <w:t>本館收受之申請資料及附件，不論獲補助與否，均不予退件。</w:t>
      </w:r>
    </w:p>
    <w:p w:rsidR="00786E5A" w:rsidRDefault="001359D9">
      <w:pPr>
        <w:pStyle w:val="a3"/>
        <w:spacing w:line="440" w:lineRule="exact"/>
        <w:ind w:left="210"/>
        <w:jc w:val="both"/>
      </w:pPr>
      <w:r>
        <w:rPr>
          <w:rFonts w:ascii="標楷體" w:eastAsia="標楷體" w:hAnsi="標楷體"/>
          <w:sz w:val="28"/>
          <w:szCs w:val="28"/>
        </w:rPr>
        <w:t>(</w:t>
      </w:r>
      <w:r>
        <w:rPr>
          <w:rFonts w:ascii="標楷體" w:eastAsia="標楷體" w:hAnsi="標楷體"/>
          <w:sz w:val="28"/>
          <w:szCs w:val="28"/>
        </w:rPr>
        <w:t>九</w:t>
      </w:r>
      <w:r>
        <w:rPr>
          <w:rFonts w:ascii="標楷體" w:eastAsia="標楷體" w:hAnsi="標楷體"/>
          <w:sz w:val="28"/>
          <w:szCs w:val="28"/>
        </w:rPr>
        <w:t>)</w:t>
      </w:r>
      <w:r>
        <w:rPr>
          <w:rFonts w:ascii="標楷體" w:eastAsia="標楷體" w:hAnsi="標楷體"/>
          <w:sz w:val="28"/>
          <w:szCs w:val="28"/>
        </w:rPr>
        <w:t>本要點未盡事宜，將視實際需要調整及補充規定，另行通知辦理。</w:t>
      </w:r>
    </w:p>
    <w:sectPr w:rsidR="00786E5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9D9" w:rsidRDefault="001359D9">
      <w:r>
        <w:separator/>
      </w:r>
    </w:p>
  </w:endnote>
  <w:endnote w:type="continuationSeparator" w:id="0">
    <w:p w:rsidR="001359D9" w:rsidRDefault="0013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9D9" w:rsidRDefault="001359D9">
      <w:r>
        <w:rPr>
          <w:color w:val="000000"/>
        </w:rPr>
        <w:separator/>
      </w:r>
    </w:p>
  </w:footnote>
  <w:footnote w:type="continuationSeparator" w:id="0">
    <w:p w:rsidR="001359D9" w:rsidRDefault="001359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6373E"/>
    <w:multiLevelType w:val="multilevel"/>
    <w:tmpl w:val="EC6A25C4"/>
    <w:lvl w:ilvl="0">
      <w:start w:val="1"/>
      <w:numFmt w:val="decimal"/>
      <w:lvlText w:val="（%1）"/>
      <w:lvlJc w:val="left"/>
      <w:pPr>
        <w:ind w:left="1282" w:hanging="855"/>
      </w:pPr>
    </w:lvl>
    <w:lvl w:ilvl="1">
      <w:start w:val="1"/>
      <w:numFmt w:val="decimal"/>
      <w:lvlText w:val="%2."/>
      <w:lvlJc w:val="left"/>
      <w:pPr>
        <w:ind w:left="1605" w:hanging="358"/>
      </w:pPr>
    </w:lvl>
    <w:lvl w:ilvl="2">
      <w:start w:val="1"/>
      <w:numFmt w:val="decimal"/>
      <w:lvlText w:val="(%3)"/>
      <w:lvlJc w:val="left"/>
      <w:pPr>
        <w:ind w:left="2107" w:hanging="720"/>
      </w:pPr>
    </w:lvl>
    <w:lvl w:ilvl="3">
      <w:start w:val="1"/>
      <w:numFmt w:val="decimal"/>
      <w:lvlText w:val="%4."/>
      <w:lvlJc w:val="left"/>
      <w:pPr>
        <w:ind w:left="2347" w:hanging="480"/>
      </w:pPr>
    </w:lvl>
    <w:lvl w:ilvl="4">
      <w:start w:val="1"/>
      <w:numFmt w:val="ideographTraditional"/>
      <w:lvlText w:val="%5、"/>
      <w:lvlJc w:val="left"/>
      <w:pPr>
        <w:ind w:left="2827" w:hanging="480"/>
      </w:pPr>
    </w:lvl>
    <w:lvl w:ilvl="5">
      <w:start w:val="1"/>
      <w:numFmt w:val="lowerRoman"/>
      <w:lvlText w:val="%6."/>
      <w:lvlJc w:val="right"/>
      <w:pPr>
        <w:ind w:left="3307" w:hanging="480"/>
      </w:pPr>
    </w:lvl>
    <w:lvl w:ilvl="6">
      <w:start w:val="1"/>
      <w:numFmt w:val="decimal"/>
      <w:lvlText w:val="%7."/>
      <w:lvlJc w:val="left"/>
      <w:pPr>
        <w:ind w:left="3787" w:hanging="480"/>
      </w:pPr>
    </w:lvl>
    <w:lvl w:ilvl="7">
      <w:start w:val="1"/>
      <w:numFmt w:val="ideographTraditional"/>
      <w:lvlText w:val="%8、"/>
      <w:lvlJc w:val="left"/>
      <w:pPr>
        <w:ind w:left="4267" w:hanging="480"/>
      </w:pPr>
    </w:lvl>
    <w:lvl w:ilvl="8">
      <w:start w:val="1"/>
      <w:numFmt w:val="lowerRoman"/>
      <w:lvlText w:val="%9."/>
      <w:lvlJc w:val="right"/>
      <w:pPr>
        <w:ind w:left="4747" w:hanging="480"/>
      </w:pPr>
    </w:lvl>
  </w:abstractNum>
  <w:abstractNum w:abstractNumId="1">
    <w:nsid w:val="30FB5530"/>
    <w:multiLevelType w:val="multilevel"/>
    <w:tmpl w:val="9710B0FC"/>
    <w:lvl w:ilvl="0">
      <w:start w:val="1"/>
      <w:numFmt w:val="decimal"/>
      <w:lvlText w:val="%1."/>
      <w:lvlJc w:val="left"/>
      <w:pPr>
        <w:ind w:left="1605" w:hanging="358"/>
      </w:p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2">
    <w:nsid w:val="535C2D8B"/>
    <w:multiLevelType w:val="multilevel"/>
    <w:tmpl w:val="C3EA7B32"/>
    <w:lvl w:ilvl="0">
      <w:start w:val="1"/>
      <w:numFmt w:val="decimal"/>
      <w:lvlText w:val="(%1）"/>
      <w:lvlJc w:val="left"/>
      <w:pPr>
        <w:ind w:left="1573" w:hanging="720"/>
      </w:pPr>
    </w:lvl>
    <w:lvl w:ilvl="1">
      <w:start w:val="1"/>
      <w:numFmt w:val="decimal"/>
      <w:lvlText w:val="（%2）"/>
      <w:lvlJc w:val="left"/>
      <w:pPr>
        <w:ind w:left="1064" w:hanging="780"/>
      </w:pPr>
    </w:lvl>
    <w:lvl w:ilvl="2">
      <w:start w:val="1"/>
      <w:numFmt w:val="decimal"/>
      <w:lvlText w:val="%3."/>
      <w:lvlJc w:val="left"/>
      <w:pPr>
        <w:ind w:left="1605" w:hanging="360"/>
      </w:pPr>
    </w:lvl>
    <w:lvl w:ilvl="3">
      <w:start w:val="1"/>
      <w:numFmt w:val="decimal"/>
      <w:lvlText w:val="%4."/>
      <w:lvlJc w:val="left"/>
      <w:pPr>
        <w:ind w:left="2205" w:hanging="480"/>
      </w:pPr>
    </w:lvl>
    <w:lvl w:ilvl="4">
      <w:start w:val="1"/>
      <w:numFmt w:val="ideographTraditional"/>
      <w:lvlText w:val="%5、"/>
      <w:lvlJc w:val="left"/>
      <w:pPr>
        <w:ind w:left="2685" w:hanging="480"/>
      </w:p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ideographTraditional"/>
      <w:lvlText w:val="%8、"/>
      <w:lvlJc w:val="left"/>
      <w:pPr>
        <w:ind w:left="4125" w:hanging="480"/>
      </w:pPr>
    </w:lvl>
    <w:lvl w:ilvl="8">
      <w:start w:val="1"/>
      <w:numFmt w:val="lowerRoman"/>
      <w:lvlText w:val="%9."/>
      <w:lvlJc w:val="right"/>
      <w:pPr>
        <w:ind w:left="4605" w:hanging="480"/>
      </w:pPr>
    </w:lvl>
  </w:abstractNum>
  <w:abstractNum w:abstractNumId="3">
    <w:nsid w:val="710800AE"/>
    <w:multiLevelType w:val="multilevel"/>
    <w:tmpl w:val="74426F5C"/>
    <w:lvl w:ilvl="0">
      <w:start w:val="1"/>
      <w:numFmt w:val="decimal"/>
      <w:lvlText w:val="（%1）"/>
      <w:lvlJc w:val="left"/>
      <w:pPr>
        <w:ind w:left="1282" w:hanging="855"/>
      </w:pPr>
    </w:lvl>
    <w:lvl w:ilvl="1">
      <w:start w:val="1"/>
      <w:numFmt w:val="decimal"/>
      <w:lvlText w:val="%2."/>
      <w:lvlJc w:val="left"/>
      <w:pPr>
        <w:ind w:left="1605" w:hanging="358"/>
      </w:pPr>
    </w:lvl>
    <w:lvl w:ilvl="2">
      <w:start w:val="1"/>
      <w:numFmt w:val="decimal"/>
      <w:lvlText w:val="(%3)"/>
      <w:lvlJc w:val="left"/>
      <w:pPr>
        <w:ind w:left="1080" w:hanging="720"/>
      </w:pPr>
    </w:lvl>
    <w:lvl w:ilvl="3">
      <w:start w:val="1"/>
      <w:numFmt w:val="decimal"/>
      <w:lvlText w:val="%4."/>
      <w:lvlJc w:val="left"/>
      <w:pPr>
        <w:ind w:left="2347" w:hanging="480"/>
      </w:pPr>
    </w:lvl>
    <w:lvl w:ilvl="4">
      <w:start w:val="1"/>
      <w:numFmt w:val="ideographTraditional"/>
      <w:lvlText w:val="%5、"/>
      <w:lvlJc w:val="left"/>
      <w:pPr>
        <w:ind w:left="2827" w:hanging="480"/>
      </w:pPr>
    </w:lvl>
    <w:lvl w:ilvl="5">
      <w:start w:val="1"/>
      <w:numFmt w:val="lowerRoman"/>
      <w:lvlText w:val="%6."/>
      <w:lvlJc w:val="right"/>
      <w:pPr>
        <w:ind w:left="3307" w:hanging="480"/>
      </w:pPr>
    </w:lvl>
    <w:lvl w:ilvl="6">
      <w:start w:val="1"/>
      <w:numFmt w:val="decimal"/>
      <w:lvlText w:val="%7."/>
      <w:lvlJc w:val="left"/>
      <w:pPr>
        <w:ind w:left="3787" w:hanging="480"/>
      </w:pPr>
    </w:lvl>
    <w:lvl w:ilvl="7">
      <w:start w:val="1"/>
      <w:numFmt w:val="ideographTraditional"/>
      <w:lvlText w:val="%8、"/>
      <w:lvlJc w:val="left"/>
      <w:pPr>
        <w:ind w:left="4267" w:hanging="480"/>
      </w:pPr>
    </w:lvl>
    <w:lvl w:ilvl="8">
      <w:start w:val="1"/>
      <w:numFmt w:val="lowerRoman"/>
      <w:lvlText w:val="%9."/>
      <w:lvlJc w:val="right"/>
      <w:pPr>
        <w:ind w:left="4747" w:hanging="4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86E5A"/>
    <w:rsid w:val="001359D9"/>
    <w:rsid w:val="00786E5A"/>
    <w:rsid w:val="00C07D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style>
  <w:style w:type="paragraph" w:styleId="1">
    <w:name w:val="heading 1"/>
    <w:basedOn w:val="Heading"/>
    <w:next w:val="Textbody"/>
    <w:pPr>
      <w:outlineLvl w:val="0"/>
    </w:pPr>
  </w:style>
  <w:style w:type="paragraph" w:styleId="2">
    <w:name w:val="heading 2"/>
    <w:basedOn w:val="Heading"/>
    <w:next w:val="Textbody"/>
    <w:pPr>
      <w:spacing w:before="200"/>
      <w:outlineLvl w:val="1"/>
    </w:pPr>
  </w:style>
  <w:style w:type="paragraph" w:styleId="3">
    <w:name w:val="heading 3"/>
    <w:basedOn w:val="Heading"/>
    <w:next w:val="Textbody"/>
    <w:pPr>
      <w:spacing w:before="14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jc w:val="center"/>
    </w:pPr>
    <w:rPr>
      <w:b/>
      <w:bCs/>
      <w:sz w:val="56"/>
      <w:szCs w:val="56"/>
    </w:rPr>
  </w:style>
  <w:style w:type="paragraph" w:customStyle="1" w:styleId="Textbody">
    <w:name w:val="Text body"/>
    <w:pPr>
      <w:widowControl w:val="0"/>
      <w:suppressAutoHyphens/>
    </w:pPr>
  </w:style>
  <w:style w:type="paragraph" w:styleId="a3">
    <w:name w:val="List Paragraph"/>
    <w:basedOn w:val="Textbody"/>
    <w:pPr>
      <w:ind w:left="480"/>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a6">
    <w:name w:val="footnote text"/>
    <w:basedOn w:val="Textbody"/>
    <w:pPr>
      <w:snapToGrid w:val="0"/>
    </w:pPr>
    <w:rPr>
      <w:rFonts w:ascii="Times New Roman" w:eastAsia="Times New Roman" w:hAnsi="Times New Roman"/>
      <w:sz w:val="20"/>
      <w:szCs w:val="20"/>
    </w:rPr>
  </w:style>
  <w:style w:type="paragraph" w:customStyle="1" w:styleId="Quotations">
    <w:name w:val="Quotations"/>
    <w:basedOn w:val="Standard"/>
    <w:pPr>
      <w:spacing w:after="283"/>
      <w:ind w:left="567" w:right="567"/>
    </w:pPr>
  </w:style>
  <w:style w:type="paragraph" w:styleId="a7">
    <w:name w:val="Subtitle"/>
    <w:basedOn w:val="Heading"/>
    <w:next w:val="Textbody"/>
    <w:pPr>
      <w:spacing w:before="60"/>
    </w:pPr>
    <w:rPr>
      <w:sz w:val="36"/>
      <w:szCs w:val="36"/>
    </w:r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aa">
    <w:name w:val="註腳文字 字元"/>
    <w:basedOn w:val="a0"/>
    <w:rPr>
      <w:rFonts w:ascii="Times New Roman" w:eastAsia="新細明體" w:hAnsi="Times New Roman" w:cs="Times New Roman"/>
      <w:sz w:val="20"/>
      <w:szCs w:val="20"/>
    </w:rPr>
  </w:style>
  <w:style w:type="character" w:styleId="ab">
    <w:name w:val="footnote reference"/>
    <w:basedOn w:val="a0"/>
    <w:rPr>
      <w:position w:val="0"/>
      <w:vertAlign w:val="superscript"/>
    </w:rPr>
  </w:style>
  <w:style w:type="character" w:customStyle="1" w:styleId="FootnoteSymbol">
    <w:name w:val="Footnote Symbo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style>
  <w:style w:type="paragraph" w:styleId="1">
    <w:name w:val="heading 1"/>
    <w:basedOn w:val="Heading"/>
    <w:next w:val="Textbody"/>
    <w:pPr>
      <w:outlineLvl w:val="0"/>
    </w:pPr>
  </w:style>
  <w:style w:type="paragraph" w:styleId="2">
    <w:name w:val="heading 2"/>
    <w:basedOn w:val="Heading"/>
    <w:next w:val="Textbody"/>
    <w:pPr>
      <w:spacing w:before="200"/>
      <w:outlineLvl w:val="1"/>
    </w:pPr>
  </w:style>
  <w:style w:type="paragraph" w:styleId="3">
    <w:name w:val="heading 3"/>
    <w:basedOn w:val="Heading"/>
    <w:next w:val="Textbody"/>
    <w:pPr>
      <w:spacing w:before="14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jc w:val="center"/>
    </w:pPr>
    <w:rPr>
      <w:b/>
      <w:bCs/>
      <w:sz w:val="56"/>
      <w:szCs w:val="56"/>
    </w:rPr>
  </w:style>
  <w:style w:type="paragraph" w:customStyle="1" w:styleId="Textbody">
    <w:name w:val="Text body"/>
    <w:pPr>
      <w:widowControl w:val="0"/>
      <w:suppressAutoHyphens/>
    </w:pPr>
  </w:style>
  <w:style w:type="paragraph" w:styleId="a3">
    <w:name w:val="List Paragraph"/>
    <w:basedOn w:val="Textbody"/>
    <w:pPr>
      <w:ind w:left="480"/>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a6">
    <w:name w:val="footnote text"/>
    <w:basedOn w:val="Textbody"/>
    <w:pPr>
      <w:snapToGrid w:val="0"/>
    </w:pPr>
    <w:rPr>
      <w:rFonts w:ascii="Times New Roman" w:eastAsia="Times New Roman" w:hAnsi="Times New Roman"/>
      <w:sz w:val="20"/>
      <w:szCs w:val="20"/>
    </w:rPr>
  </w:style>
  <w:style w:type="paragraph" w:customStyle="1" w:styleId="Quotations">
    <w:name w:val="Quotations"/>
    <w:basedOn w:val="Standard"/>
    <w:pPr>
      <w:spacing w:after="283"/>
      <w:ind w:left="567" w:right="567"/>
    </w:pPr>
  </w:style>
  <w:style w:type="paragraph" w:styleId="a7">
    <w:name w:val="Subtitle"/>
    <w:basedOn w:val="Heading"/>
    <w:next w:val="Textbody"/>
    <w:pPr>
      <w:spacing w:before="60"/>
    </w:pPr>
    <w:rPr>
      <w:sz w:val="36"/>
      <w:szCs w:val="36"/>
    </w:r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aa">
    <w:name w:val="註腳文字 字元"/>
    <w:basedOn w:val="a0"/>
    <w:rPr>
      <w:rFonts w:ascii="Times New Roman" w:eastAsia="新細明體" w:hAnsi="Times New Roman" w:cs="Times New Roman"/>
      <w:sz w:val="20"/>
      <w:szCs w:val="20"/>
    </w:rPr>
  </w:style>
  <w:style w:type="character" w:styleId="ab">
    <w:name w:val="footnote reference"/>
    <w:basedOn w:val="a0"/>
    <w:rPr>
      <w:position w:val="0"/>
      <w:vertAlign w:val="superscript"/>
    </w:rPr>
  </w:style>
  <w:style w:type="character" w:customStyle="1" w:styleId="FootnoteSymbol">
    <w:name w:val="Footnote Symbo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486</Words>
  <Characters>2772</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張詠宸</dc:creator>
  <cp:lastModifiedBy>user</cp:lastModifiedBy>
  <cp:revision>2</cp:revision>
  <cp:lastPrinted>2018-05-23T06:04:00Z</cp:lastPrinted>
  <dcterms:created xsi:type="dcterms:W3CDTF">2018-08-20T05:58:00Z</dcterms:created>
  <dcterms:modified xsi:type="dcterms:W3CDTF">2018-08-20T05:58:00Z</dcterms:modified>
</cp:coreProperties>
</file>