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  <w:bookmarkStart w:id="0" w:name="_GoBack"/>
      <w:bookmarkEnd w:id="0"/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24"/>
          <w:szCs w:val="24"/>
        </w:rPr>
      </w:pPr>
    </w:p>
    <w:p w:rsidR="008F0F61" w:rsidRPr="00AC1096" w:rsidRDefault="00B25A8C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36"/>
          <w:szCs w:val="24"/>
        </w:rPr>
      </w:pPr>
      <w:r w:rsidRPr="00AC1096">
        <w:rPr>
          <w:rFonts w:hAnsi="標楷體" w:hint="eastAsia"/>
          <w:sz w:val="36"/>
          <w:szCs w:val="24"/>
        </w:rPr>
        <w:t>花蓮市太平洋</w:t>
      </w:r>
      <w:proofErr w:type="gramStart"/>
      <w:r w:rsidRPr="00AC1096">
        <w:rPr>
          <w:rFonts w:hAnsi="標楷體" w:hint="eastAsia"/>
          <w:sz w:val="36"/>
          <w:szCs w:val="24"/>
        </w:rPr>
        <w:t>臨港廊道</w:t>
      </w:r>
      <w:proofErr w:type="gramEnd"/>
      <w:r w:rsidRPr="00AC1096">
        <w:rPr>
          <w:rFonts w:hAnsi="標楷體" w:hint="eastAsia"/>
          <w:sz w:val="36"/>
          <w:szCs w:val="24"/>
        </w:rPr>
        <w:t>歷史場景再現計畫</w:t>
      </w:r>
    </w:p>
    <w:p w:rsidR="00B25A8C" w:rsidRPr="00AC1096" w:rsidRDefault="00B25A8C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 w:val="36"/>
          <w:szCs w:val="24"/>
        </w:rPr>
      </w:pPr>
      <w:r w:rsidRPr="00AC1096">
        <w:rPr>
          <w:rFonts w:hAnsi="標楷體"/>
          <w:sz w:val="36"/>
          <w:szCs w:val="24"/>
        </w:rPr>
        <w:t>選擇方案及替代方案之成本效益分析報告</w:t>
      </w:r>
    </w:p>
    <w:p w:rsidR="00003B74" w:rsidRPr="00AC1096" w:rsidRDefault="00003B74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003B74" w:rsidRPr="00AC1096" w:rsidRDefault="00003B74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003B74" w:rsidRDefault="00003B74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AC1096" w:rsidRPr="00AC1096" w:rsidRDefault="00AC1096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003B74" w:rsidRPr="00AC1096" w:rsidRDefault="00003B74" w:rsidP="00B25A8C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B25A8C" w:rsidRPr="00AC1096" w:rsidRDefault="00B25A8C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Cs w:val="24"/>
        </w:rPr>
      </w:pPr>
      <w:r w:rsidRPr="00AC1096">
        <w:rPr>
          <w:rFonts w:hAnsi="標楷體" w:hint="eastAsia"/>
          <w:szCs w:val="24"/>
        </w:rPr>
        <w:t>花蓮縣文化局</w:t>
      </w:r>
    </w:p>
    <w:p w:rsidR="00003B74" w:rsidRPr="00AC1096" w:rsidRDefault="00B25A8C" w:rsidP="00003B74">
      <w:pPr>
        <w:pStyle w:val="a3"/>
        <w:kinsoku w:val="0"/>
        <w:overflowPunct w:val="0"/>
        <w:spacing w:before="112"/>
        <w:ind w:left="0"/>
        <w:jc w:val="center"/>
        <w:rPr>
          <w:rFonts w:hAnsi="標楷體"/>
          <w:szCs w:val="24"/>
        </w:rPr>
      </w:pPr>
      <w:r w:rsidRPr="00AC1096">
        <w:rPr>
          <w:rFonts w:hAnsi="標楷體" w:hint="eastAsia"/>
          <w:szCs w:val="24"/>
        </w:rPr>
        <w:t>110年6月</w:t>
      </w:r>
    </w:p>
    <w:p w:rsidR="00B25A8C" w:rsidRPr="00AC1096" w:rsidRDefault="00B25A8C" w:rsidP="00003B74">
      <w:pPr>
        <w:widowControl/>
        <w:autoSpaceDE/>
        <w:autoSpaceDN/>
        <w:adjustRightInd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widowControl/>
        <w:autoSpaceDE/>
        <w:autoSpaceDN/>
        <w:adjustRightInd/>
        <w:rPr>
          <w:rFonts w:hAnsi="標楷體"/>
          <w:sz w:val="24"/>
          <w:szCs w:val="24"/>
        </w:rPr>
      </w:pPr>
    </w:p>
    <w:p w:rsidR="00003B74" w:rsidRPr="00AC1096" w:rsidRDefault="00003B74" w:rsidP="00003B74">
      <w:pPr>
        <w:widowControl/>
        <w:autoSpaceDE/>
        <w:autoSpaceDN/>
        <w:adjustRightInd/>
        <w:rPr>
          <w:rFonts w:hAnsi="標楷體"/>
          <w:sz w:val="24"/>
          <w:szCs w:val="24"/>
        </w:rPr>
      </w:pPr>
    </w:p>
    <w:p w:rsidR="00AC1096" w:rsidRPr="00AC1096" w:rsidRDefault="00AC1096" w:rsidP="00003B74">
      <w:pPr>
        <w:widowControl/>
        <w:autoSpaceDE/>
        <w:autoSpaceDN/>
        <w:adjustRightInd/>
        <w:rPr>
          <w:rFonts w:hAnsi="標楷體"/>
          <w:sz w:val="24"/>
          <w:szCs w:val="24"/>
        </w:rPr>
      </w:pPr>
    </w:p>
    <w:p w:rsidR="00B25A8C" w:rsidRPr="00AC1096" w:rsidRDefault="00B25A8C" w:rsidP="00042259">
      <w:pPr>
        <w:pStyle w:val="a3"/>
        <w:numPr>
          <w:ilvl w:val="0"/>
          <w:numId w:val="1"/>
        </w:numPr>
        <w:kinsoku w:val="0"/>
        <w:overflowPunct w:val="0"/>
        <w:spacing w:before="112"/>
        <w:ind w:left="567" w:hanging="567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計畫背景</w:t>
      </w:r>
    </w:p>
    <w:p w:rsidR="00B25A8C" w:rsidRPr="00AC1096" w:rsidRDefault="00B25A8C" w:rsidP="00042259">
      <w:pPr>
        <w:pStyle w:val="a3"/>
        <w:numPr>
          <w:ilvl w:val="0"/>
          <w:numId w:val="6"/>
        </w:numPr>
        <w:kinsoku w:val="0"/>
        <w:overflowPunct w:val="0"/>
        <w:spacing w:before="112"/>
        <w:ind w:left="1134" w:hanging="654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依據：</w:t>
      </w:r>
    </w:p>
    <w:p w:rsidR="00003B74" w:rsidRPr="00AC1096" w:rsidRDefault="00003B74" w:rsidP="00003B74">
      <w:pPr>
        <w:pStyle w:val="a3"/>
        <w:kinsoku w:val="0"/>
        <w:overflowPunct w:val="0"/>
        <w:spacing w:before="112"/>
        <w:ind w:left="1134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依據文化部文化資產局108年7月3日核定之「再造歷史現場專案計畫」中之「花蓮市太平洋</w:t>
      </w:r>
      <w:proofErr w:type="gramStart"/>
      <w:r w:rsidRPr="00AC1096">
        <w:rPr>
          <w:rFonts w:hAnsi="標楷體" w:hint="eastAsia"/>
          <w:sz w:val="24"/>
          <w:szCs w:val="24"/>
        </w:rPr>
        <w:t>臨港廊道</w:t>
      </w:r>
      <w:proofErr w:type="gramEnd"/>
      <w:r w:rsidRPr="00AC1096">
        <w:rPr>
          <w:rFonts w:hAnsi="標楷體" w:hint="eastAsia"/>
          <w:sz w:val="24"/>
          <w:szCs w:val="24"/>
        </w:rPr>
        <w:t>歷史場景再現計畫」，並於108年7月3日</w:t>
      </w:r>
      <w:r w:rsidRPr="00AC1096">
        <w:rPr>
          <w:rFonts w:hAnsi="標楷體" w:cs="DFKaiShu-SB-Estd-BF" w:hint="eastAsia"/>
          <w:sz w:val="24"/>
          <w:szCs w:val="24"/>
        </w:rPr>
        <w:t>文</w:t>
      </w:r>
      <w:proofErr w:type="gramStart"/>
      <w:r w:rsidRPr="00AC1096">
        <w:rPr>
          <w:rFonts w:hAnsi="標楷體" w:cs="DFKaiShu-SB-Estd-BF" w:hint="eastAsia"/>
          <w:sz w:val="24"/>
          <w:szCs w:val="24"/>
        </w:rPr>
        <w:t>授資局蹟</w:t>
      </w:r>
      <w:proofErr w:type="gramEnd"/>
      <w:r w:rsidRPr="00AC1096">
        <w:rPr>
          <w:rFonts w:hAnsi="標楷體" w:cs="DFKaiShu-SB-Estd-BF" w:hint="eastAsia"/>
          <w:sz w:val="24"/>
          <w:szCs w:val="24"/>
        </w:rPr>
        <w:t>字第</w:t>
      </w:r>
      <w:r w:rsidRPr="00AC1096">
        <w:rPr>
          <w:rFonts w:hAnsi="標楷體" w:cs="DFKaiShu-SB-Estd-BF"/>
          <w:sz w:val="24"/>
          <w:szCs w:val="24"/>
        </w:rPr>
        <w:t>1083007023</w:t>
      </w:r>
      <w:r w:rsidRPr="00AC1096">
        <w:rPr>
          <w:rFonts w:hAnsi="標楷體" w:cs="DFKaiShu-SB-Estd-BF" w:hint="eastAsia"/>
          <w:sz w:val="24"/>
          <w:szCs w:val="24"/>
        </w:rPr>
        <w:t>號函核定。</w:t>
      </w:r>
    </w:p>
    <w:p w:rsidR="00B25A8C" w:rsidRPr="00AC1096" w:rsidRDefault="00B25A8C" w:rsidP="00042259">
      <w:pPr>
        <w:pStyle w:val="a3"/>
        <w:numPr>
          <w:ilvl w:val="0"/>
          <w:numId w:val="6"/>
        </w:numPr>
        <w:kinsoku w:val="0"/>
        <w:overflowPunct w:val="0"/>
        <w:spacing w:before="112"/>
        <w:ind w:left="993" w:hanging="567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現況說明</w:t>
      </w:r>
    </w:p>
    <w:p w:rsidR="00D02CF5" w:rsidRPr="00AC1096" w:rsidRDefault="00003B74" w:rsidP="00D02CF5">
      <w:pPr>
        <w:pStyle w:val="a3"/>
        <w:kinsoku w:val="0"/>
        <w:overflowPunct w:val="0"/>
        <w:spacing w:before="112"/>
        <w:ind w:left="993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本計畫自107至109年度共分為十個子計畫，</w:t>
      </w:r>
      <w:r w:rsidR="00D02CF5" w:rsidRPr="00AC1096">
        <w:rPr>
          <w:rFonts w:hAnsi="標楷體" w:hint="eastAsia"/>
          <w:sz w:val="24"/>
          <w:szCs w:val="24"/>
        </w:rPr>
        <w:t>年度及計畫名稱如下：</w:t>
      </w:r>
    </w:p>
    <w:p w:rsidR="00ED418B" w:rsidRPr="00AC1096" w:rsidRDefault="00D02CF5" w:rsidP="00ED418B">
      <w:pPr>
        <w:pStyle w:val="a3"/>
        <w:kinsoku w:val="0"/>
        <w:overflowPunct w:val="0"/>
        <w:spacing w:before="112"/>
        <w:ind w:left="993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107年</w:t>
      </w:r>
    </w:p>
    <w:p w:rsidR="00D02CF5" w:rsidRPr="00AC1096" w:rsidRDefault="00D02CF5" w:rsidP="00ED418B">
      <w:pPr>
        <w:pStyle w:val="a3"/>
        <w:kinsoku w:val="0"/>
        <w:overflowPunct w:val="0"/>
        <w:spacing w:before="112"/>
        <w:ind w:left="993"/>
        <w:rPr>
          <w:rFonts w:hAnsi="標楷體"/>
          <w:sz w:val="24"/>
          <w:szCs w:val="24"/>
        </w:rPr>
      </w:pPr>
      <w:r w:rsidRPr="00AC1096">
        <w:rPr>
          <w:rFonts w:hAnsi="標楷體" w:hint="eastAsia"/>
          <w:spacing w:val="-7"/>
          <w:sz w:val="24"/>
          <w:szCs w:val="24"/>
        </w:rPr>
        <w:t>本計畫的研究調查與規劃設計預定於</w:t>
      </w:r>
      <w:r w:rsidRPr="00AC1096">
        <w:rPr>
          <w:rFonts w:hAnsi="標楷體"/>
          <w:spacing w:val="-7"/>
          <w:sz w:val="24"/>
          <w:szCs w:val="24"/>
        </w:rPr>
        <w:t xml:space="preserve"> </w:t>
      </w:r>
      <w:r w:rsidRPr="00AC1096">
        <w:rPr>
          <w:rFonts w:hAnsi="標楷體"/>
          <w:sz w:val="24"/>
          <w:szCs w:val="24"/>
        </w:rPr>
        <w:t>107</w:t>
      </w:r>
      <w:r w:rsidRPr="00AC1096">
        <w:rPr>
          <w:rFonts w:hAnsi="標楷體"/>
          <w:spacing w:val="-13"/>
          <w:sz w:val="24"/>
          <w:szCs w:val="24"/>
        </w:rPr>
        <w:t xml:space="preserve"> </w:t>
      </w:r>
      <w:r w:rsidRPr="00AC1096">
        <w:rPr>
          <w:rFonts w:hAnsi="標楷體" w:hint="eastAsia"/>
          <w:spacing w:val="-13"/>
          <w:sz w:val="24"/>
          <w:szCs w:val="24"/>
        </w:rPr>
        <w:t>年度辦理，各子計畫名稱及主要工</w:t>
      </w:r>
      <w:r w:rsidRPr="00AC1096">
        <w:rPr>
          <w:rFonts w:hAnsi="標楷體" w:hint="eastAsia"/>
          <w:spacing w:val="-8"/>
          <w:sz w:val="24"/>
          <w:szCs w:val="24"/>
        </w:rPr>
        <w:t>作項目如下：</w:t>
      </w:r>
    </w:p>
    <w:p w:rsidR="00D02CF5" w:rsidRPr="00AC1096" w:rsidRDefault="00D02CF5" w:rsidP="00D02CF5">
      <w:pPr>
        <w:pStyle w:val="a3"/>
        <w:kinsoku w:val="0"/>
        <w:overflowPunct w:val="0"/>
        <w:spacing w:line="389" w:lineRule="exact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1.</w:t>
      </w:r>
      <w:r w:rsidRPr="00AC1096">
        <w:rPr>
          <w:rFonts w:hAnsi="標楷體" w:hint="eastAsia"/>
          <w:sz w:val="24"/>
          <w:szCs w:val="24"/>
        </w:rPr>
        <w:t>子計畫</w:t>
      </w:r>
      <w:proofErr w:type="gramStart"/>
      <w:r w:rsidRPr="00AC1096">
        <w:rPr>
          <w:rFonts w:hAnsi="標楷體" w:hint="eastAsia"/>
          <w:sz w:val="24"/>
          <w:szCs w:val="24"/>
        </w:rPr>
        <w:t>一</w:t>
      </w:r>
      <w:proofErr w:type="gramEnd"/>
      <w:r w:rsidRPr="00AC1096">
        <w:rPr>
          <w:rFonts w:hAnsi="標楷體" w:hint="eastAsia"/>
          <w:sz w:val="24"/>
          <w:szCs w:val="24"/>
        </w:rPr>
        <w:t>：花蓮市太平洋</w:t>
      </w:r>
      <w:proofErr w:type="gramStart"/>
      <w:r w:rsidRPr="00AC1096">
        <w:rPr>
          <w:rFonts w:hAnsi="標楷體" w:hint="eastAsia"/>
          <w:sz w:val="24"/>
          <w:szCs w:val="24"/>
        </w:rPr>
        <w:t>臨港廊道</w:t>
      </w:r>
      <w:proofErr w:type="gramEnd"/>
      <w:r w:rsidRPr="00AC1096">
        <w:rPr>
          <w:rFonts w:hAnsi="標楷體" w:hint="eastAsia"/>
          <w:sz w:val="24"/>
          <w:szCs w:val="24"/>
        </w:rPr>
        <w:t>歷史場景再現計畫專業服務</w:t>
      </w:r>
    </w:p>
    <w:p w:rsidR="00D02CF5" w:rsidRPr="00AC1096" w:rsidRDefault="00D02CF5" w:rsidP="00D02CF5">
      <w:pPr>
        <w:pStyle w:val="a3"/>
        <w:kinsoku w:val="0"/>
        <w:overflowPunct w:val="0"/>
        <w:spacing w:before="130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2.</w:t>
      </w:r>
      <w:r w:rsidRPr="00AC1096">
        <w:rPr>
          <w:rFonts w:hAnsi="標楷體" w:hint="eastAsia"/>
          <w:sz w:val="24"/>
          <w:szCs w:val="24"/>
        </w:rPr>
        <w:t>子計畫二：中廣花蓮電台歷史建築調查研究計畫</w:t>
      </w:r>
    </w:p>
    <w:p w:rsidR="00D02CF5" w:rsidRPr="00AC1096" w:rsidRDefault="00D02CF5" w:rsidP="00D02CF5">
      <w:pPr>
        <w:pStyle w:val="a3"/>
        <w:kinsoku w:val="0"/>
        <w:overflowPunct w:val="0"/>
        <w:spacing w:before="129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3.</w:t>
      </w:r>
      <w:r w:rsidRPr="00AC1096">
        <w:rPr>
          <w:rFonts w:hAnsi="標楷體" w:hint="eastAsia"/>
          <w:sz w:val="24"/>
          <w:szCs w:val="24"/>
        </w:rPr>
        <w:t>子計畫</w:t>
      </w:r>
      <w:proofErr w:type="gramStart"/>
      <w:r w:rsidRPr="00AC1096">
        <w:rPr>
          <w:rFonts w:hAnsi="標楷體" w:hint="eastAsia"/>
          <w:sz w:val="24"/>
          <w:szCs w:val="24"/>
        </w:rPr>
        <w:t>三</w:t>
      </w:r>
      <w:proofErr w:type="gramEnd"/>
      <w:r w:rsidRPr="00AC1096">
        <w:rPr>
          <w:rFonts w:hAnsi="標楷體" w:hint="eastAsia"/>
          <w:sz w:val="24"/>
          <w:szCs w:val="24"/>
        </w:rPr>
        <w:t>：美</w:t>
      </w:r>
      <w:proofErr w:type="gramStart"/>
      <w:r w:rsidRPr="00AC1096">
        <w:rPr>
          <w:rFonts w:hAnsi="標楷體" w:hint="eastAsia"/>
          <w:sz w:val="24"/>
          <w:szCs w:val="24"/>
        </w:rPr>
        <w:t>崙</w:t>
      </w:r>
      <w:proofErr w:type="gramEnd"/>
      <w:r w:rsidRPr="00AC1096">
        <w:rPr>
          <w:rFonts w:hAnsi="標楷體" w:hint="eastAsia"/>
          <w:sz w:val="24"/>
          <w:szCs w:val="24"/>
        </w:rPr>
        <w:t>溪畔日式宿舍群規劃設計監造技術服務</w:t>
      </w:r>
    </w:p>
    <w:p w:rsidR="00ED418B" w:rsidRPr="00AC1096" w:rsidRDefault="00D02CF5" w:rsidP="00ED418B">
      <w:pPr>
        <w:pStyle w:val="a3"/>
        <w:kinsoku w:val="0"/>
        <w:overflowPunct w:val="0"/>
        <w:spacing w:before="127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4.</w:t>
      </w:r>
      <w:r w:rsidRPr="00AC1096">
        <w:rPr>
          <w:rFonts w:hAnsi="標楷體" w:hint="eastAsia"/>
          <w:sz w:val="24"/>
          <w:szCs w:val="24"/>
        </w:rPr>
        <w:t>子計畫四：花蓮市太平洋臨港歷史廊道文化資產資源調查與盤點</w:t>
      </w:r>
    </w:p>
    <w:p w:rsidR="00D02CF5" w:rsidRPr="00AC1096" w:rsidRDefault="00D02CF5" w:rsidP="00ED418B">
      <w:pPr>
        <w:pStyle w:val="a3"/>
        <w:kinsoku w:val="0"/>
        <w:overflowPunct w:val="0"/>
        <w:spacing w:before="127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5.</w:t>
      </w:r>
      <w:r w:rsidRPr="00AC1096">
        <w:rPr>
          <w:rFonts w:hAnsi="標楷體" w:hint="eastAsia"/>
          <w:sz w:val="24"/>
          <w:szCs w:val="24"/>
        </w:rPr>
        <w:t>子計畫五：花蓮市太平洋臨港歷史廊道意象設計及品牌塑造</w:t>
      </w:r>
    </w:p>
    <w:p w:rsidR="00D02CF5" w:rsidRPr="00AC1096" w:rsidRDefault="00D02CF5" w:rsidP="00ED418B">
      <w:pPr>
        <w:pStyle w:val="a3"/>
        <w:kinsoku w:val="0"/>
        <w:overflowPunct w:val="0"/>
        <w:spacing w:before="129" w:line="316" w:lineRule="auto"/>
        <w:ind w:left="1418" w:right="1633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6.</w:t>
      </w:r>
      <w:r w:rsidRPr="00AC1096">
        <w:rPr>
          <w:rFonts w:hAnsi="標楷體" w:hint="eastAsia"/>
          <w:sz w:val="24"/>
          <w:szCs w:val="24"/>
        </w:rPr>
        <w:t>子計畫六：中廣花蓮電台歷史脈絡與花岡山遺址史前文物展示計畫</w:t>
      </w:r>
    </w:p>
    <w:p w:rsidR="00D02CF5" w:rsidRPr="00AC1096" w:rsidRDefault="00D02CF5" w:rsidP="00D02CF5">
      <w:pPr>
        <w:pStyle w:val="a3"/>
        <w:kinsoku w:val="0"/>
        <w:overflowPunct w:val="0"/>
        <w:spacing w:before="129" w:line="316" w:lineRule="auto"/>
        <w:ind w:right="1633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108年</w:t>
      </w:r>
    </w:p>
    <w:p w:rsidR="00D02CF5" w:rsidRPr="00AC1096" w:rsidRDefault="00D02CF5" w:rsidP="00D02CF5">
      <w:pPr>
        <w:pStyle w:val="a3"/>
        <w:kinsoku w:val="0"/>
        <w:overflowPunct w:val="0"/>
        <w:spacing w:before="5" w:line="319" w:lineRule="auto"/>
        <w:ind w:right="1084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本年度主要進行建築營繕修復、活化設計之整備，相關主題及工作項目如下：</w:t>
      </w:r>
    </w:p>
    <w:p w:rsidR="00D02CF5" w:rsidRPr="00AC1096" w:rsidRDefault="00D02CF5" w:rsidP="00D02CF5">
      <w:pPr>
        <w:pStyle w:val="a3"/>
        <w:kinsoku w:val="0"/>
        <w:overflowPunct w:val="0"/>
        <w:spacing w:line="389" w:lineRule="exact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1.</w:t>
      </w:r>
      <w:r w:rsidRPr="00AC1096">
        <w:rPr>
          <w:rFonts w:hAnsi="標楷體" w:hint="eastAsia"/>
          <w:sz w:val="24"/>
          <w:szCs w:val="24"/>
        </w:rPr>
        <w:t>子計畫七：花蓮市太平洋臨港歷史現場行銷影片建置計畫</w:t>
      </w:r>
    </w:p>
    <w:p w:rsidR="00D02CF5" w:rsidRPr="00AC1096" w:rsidRDefault="00D02CF5" w:rsidP="00D02CF5">
      <w:pPr>
        <w:pStyle w:val="a3"/>
        <w:kinsoku w:val="0"/>
        <w:overflowPunct w:val="0"/>
        <w:spacing w:before="130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2.</w:t>
      </w:r>
      <w:r w:rsidRPr="00AC1096">
        <w:rPr>
          <w:rFonts w:hAnsi="標楷體" w:hint="eastAsia"/>
          <w:sz w:val="24"/>
          <w:szCs w:val="24"/>
        </w:rPr>
        <w:t>子計畫八：歷史建築中廣花蓮電台委託規劃設計監造技術服務</w:t>
      </w:r>
    </w:p>
    <w:p w:rsidR="00D02CF5" w:rsidRPr="00AC1096" w:rsidRDefault="00D02CF5" w:rsidP="00D02CF5">
      <w:pPr>
        <w:pStyle w:val="a3"/>
        <w:kinsoku w:val="0"/>
        <w:overflowPunct w:val="0"/>
        <w:spacing w:before="129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3.</w:t>
      </w:r>
      <w:r w:rsidRPr="00AC1096">
        <w:rPr>
          <w:rFonts w:hAnsi="標楷體" w:hint="eastAsia"/>
          <w:sz w:val="24"/>
          <w:szCs w:val="24"/>
        </w:rPr>
        <w:t>子計畫九：美</w:t>
      </w:r>
      <w:proofErr w:type="gramStart"/>
      <w:r w:rsidRPr="00AC1096">
        <w:rPr>
          <w:rFonts w:hAnsi="標楷體" w:hint="eastAsia"/>
          <w:sz w:val="24"/>
          <w:szCs w:val="24"/>
        </w:rPr>
        <w:t>崙</w:t>
      </w:r>
      <w:proofErr w:type="gramEnd"/>
      <w:r w:rsidRPr="00AC1096">
        <w:rPr>
          <w:rFonts w:hAnsi="標楷體" w:hint="eastAsia"/>
          <w:sz w:val="24"/>
          <w:szCs w:val="24"/>
        </w:rPr>
        <w:t>溪畔日式宿舍群建築修復暨環境美化工程</w:t>
      </w:r>
    </w:p>
    <w:p w:rsidR="00D02CF5" w:rsidRPr="00AC1096" w:rsidRDefault="00D02CF5" w:rsidP="00D02CF5">
      <w:pPr>
        <w:pStyle w:val="a3"/>
        <w:kinsoku w:val="0"/>
        <w:overflowPunct w:val="0"/>
        <w:spacing w:before="129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109年</w:t>
      </w:r>
    </w:p>
    <w:p w:rsidR="00D02CF5" w:rsidRPr="00AC1096" w:rsidRDefault="00D02CF5" w:rsidP="00D02CF5">
      <w:pPr>
        <w:pStyle w:val="a3"/>
        <w:kinsoku w:val="0"/>
        <w:overflowPunct w:val="0"/>
        <w:spacing w:before="129"/>
        <w:ind w:left="1426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1.</w:t>
      </w:r>
      <w:r w:rsidRPr="00AC1096">
        <w:rPr>
          <w:rFonts w:hAnsi="標楷體" w:hint="eastAsia"/>
          <w:sz w:val="24"/>
          <w:szCs w:val="24"/>
        </w:rPr>
        <w:t>子計畫十：中廣花蓮電台歷史建築修復暨環境美化工程</w:t>
      </w:r>
    </w:p>
    <w:p w:rsidR="00D02CF5" w:rsidRPr="00AC1096" w:rsidRDefault="00D02CF5" w:rsidP="00B431A5">
      <w:pPr>
        <w:pStyle w:val="a3"/>
        <w:kinsoku w:val="0"/>
        <w:overflowPunct w:val="0"/>
        <w:spacing w:before="112"/>
        <w:ind w:left="993" w:firstLine="433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目前尚在執行中之案件為美</w:t>
      </w:r>
      <w:proofErr w:type="gramStart"/>
      <w:r w:rsidRPr="00AC1096">
        <w:rPr>
          <w:rFonts w:hAnsi="標楷體" w:hint="eastAsia"/>
          <w:sz w:val="24"/>
          <w:szCs w:val="24"/>
        </w:rPr>
        <w:t>崙</w:t>
      </w:r>
      <w:proofErr w:type="gramEnd"/>
      <w:r w:rsidRPr="00AC1096">
        <w:rPr>
          <w:rFonts w:hAnsi="標楷體" w:hint="eastAsia"/>
          <w:sz w:val="24"/>
          <w:szCs w:val="24"/>
        </w:rPr>
        <w:t>溪畔日式宿舍群規劃設計監造技術服務、歷史建築中廣花蓮電台規劃設計監造技術服務、美</w:t>
      </w:r>
      <w:proofErr w:type="gramStart"/>
      <w:r w:rsidRPr="00AC1096">
        <w:rPr>
          <w:rFonts w:hAnsi="標楷體" w:hint="eastAsia"/>
          <w:sz w:val="24"/>
          <w:szCs w:val="24"/>
        </w:rPr>
        <w:t>崙</w:t>
      </w:r>
      <w:proofErr w:type="gramEnd"/>
      <w:r w:rsidRPr="00AC1096">
        <w:rPr>
          <w:rFonts w:hAnsi="標楷體" w:hint="eastAsia"/>
          <w:sz w:val="24"/>
          <w:szCs w:val="24"/>
        </w:rPr>
        <w:t>溪畔日式宿舍群建築修復暨環境美化工程、花蓮市太平洋臨港歷史現場行銷影</w:t>
      </w:r>
      <w:r w:rsidRPr="00AC1096">
        <w:rPr>
          <w:rFonts w:hAnsi="標楷體" w:hint="eastAsia"/>
          <w:sz w:val="24"/>
          <w:szCs w:val="24"/>
        </w:rPr>
        <w:lastRenderedPageBreak/>
        <w:t>片建置計畫、中廣花蓮電台歷史建築修復暨環境美化工程。</w:t>
      </w:r>
    </w:p>
    <w:p w:rsidR="00B25A8C" w:rsidRPr="00AC1096" w:rsidRDefault="00B25A8C" w:rsidP="00042259">
      <w:pPr>
        <w:pStyle w:val="a3"/>
        <w:numPr>
          <w:ilvl w:val="0"/>
          <w:numId w:val="1"/>
        </w:numPr>
        <w:kinsoku w:val="0"/>
        <w:overflowPunct w:val="0"/>
        <w:spacing w:before="112"/>
        <w:ind w:left="567" w:hanging="567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選擇方案</w:t>
      </w:r>
    </w:p>
    <w:p w:rsidR="00B25A8C" w:rsidRPr="00AC1096" w:rsidRDefault="00B25A8C" w:rsidP="00042259">
      <w:pPr>
        <w:pStyle w:val="a3"/>
        <w:numPr>
          <w:ilvl w:val="0"/>
          <w:numId w:val="7"/>
        </w:numPr>
        <w:kinsoku w:val="0"/>
        <w:overflowPunct w:val="0"/>
        <w:spacing w:before="112"/>
        <w:ind w:left="1134" w:hanging="708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成本分析：可量化之經濟成本：</w:t>
      </w:r>
      <w:r w:rsidR="00B431A5" w:rsidRPr="00AC1096">
        <w:rPr>
          <w:rFonts w:hAnsi="標楷體"/>
          <w:sz w:val="24"/>
          <w:szCs w:val="24"/>
        </w:rPr>
        <w:t>本計畫 107-</w:t>
      </w:r>
      <w:proofErr w:type="gramStart"/>
      <w:r w:rsidR="00B431A5" w:rsidRPr="00AC1096">
        <w:rPr>
          <w:rFonts w:hAnsi="標楷體"/>
          <w:sz w:val="24"/>
          <w:szCs w:val="24"/>
        </w:rPr>
        <w:t>109</w:t>
      </w:r>
      <w:proofErr w:type="gramEnd"/>
      <w:r w:rsidR="00B431A5" w:rsidRPr="00AC1096">
        <w:rPr>
          <w:rFonts w:hAnsi="標楷體"/>
          <w:sz w:val="24"/>
          <w:szCs w:val="24"/>
        </w:rPr>
        <w:t>年度經費預定辦理之各項工作項目及其</w:t>
      </w:r>
      <w:proofErr w:type="gramStart"/>
      <w:r w:rsidR="00B431A5" w:rsidRPr="00AC1096">
        <w:rPr>
          <w:rFonts w:hAnsi="標楷體"/>
          <w:sz w:val="24"/>
          <w:szCs w:val="24"/>
        </w:rPr>
        <w:t>經資門需求</w:t>
      </w:r>
      <w:proofErr w:type="gramEnd"/>
      <w:r w:rsidR="00B431A5" w:rsidRPr="00AC1096">
        <w:rPr>
          <w:rFonts w:hAnsi="標楷體"/>
          <w:sz w:val="24"/>
          <w:szCs w:val="24"/>
        </w:rPr>
        <w:t>如下：</w:t>
      </w:r>
    </w:p>
    <w:tbl>
      <w:tblPr>
        <w:tblW w:w="10490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552"/>
        <w:gridCol w:w="1701"/>
        <w:gridCol w:w="2410"/>
        <w:gridCol w:w="1559"/>
      </w:tblGrid>
      <w:tr w:rsidR="00B431A5" w:rsidRPr="00AC1096" w:rsidTr="00DB60A8">
        <w:trPr>
          <w:trHeight w:val="8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158" w:right="144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年度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74" w:right="67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序號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計畫名稱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405" w:right="111" w:hanging="281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經費科目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計畫經費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施行年度</w:t>
            </w:r>
          </w:p>
        </w:tc>
      </w:tr>
      <w:tr w:rsidR="00B431A5" w:rsidRPr="00AC1096" w:rsidTr="00DB60A8">
        <w:trPr>
          <w:trHeight w:val="118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spacing w:before="9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spacing w:line="172" w:lineRule="auto"/>
              <w:ind w:left="119" w:right="18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第一年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/>
              <w:ind w:left="86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花蓮市太平洋</w:t>
            </w:r>
            <w:proofErr w:type="gramStart"/>
            <w:r w:rsidRPr="00AC1096">
              <w:rPr>
                <w:rFonts w:hAnsi="標楷體" w:hint="eastAsia"/>
                <w:sz w:val="24"/>
                <w:szCs w:val="24"/>
              </w:rPr>
              <w:t>臨港廊道</w:t>
            </w:r>
            <w:proofErr w:type="gramEnd"/>
            <w:r w:rsidRPr="00AC1096">
              <w:rPr>
                <w:rFonts w:hAnsi="標楷體" w:hint="eastAsia"/>
                <w:sz w:val="24"/>
                <w:szCs w:val="24"/>
              </w:rPr>
              <w:t>歷史場景再現計畫專業服務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770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107-109</w:t>
            </w:r>
          </w:p>
        </w:tc>
      </w:tr>
      <w:tr w:rsidR="00B431A5" w:rsidRPr="00AC1096" w:rsidTr="00DB60A8">
        <w:trPr>
          <w:trHeight w:val="78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3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3" w:line="400" w:lineRule="atLeast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中廣花蓮電台歷史建築調查研究計畫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3"/>
              <w:ind w:left="105"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3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200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3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107</w:t>
            </w:r>
          </w:p>
        </w:tc>
      </w:tr>
      <w:tr w:rsidR="00B431A5" w:rsidRPr="00AC1096" w:rsidTr="00DB60A8">
        <w:trPr>
          <w:trHeight w:val="78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4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6" w:line="400" w:lineRule="atLeast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美</w:t>
            </w:r>
            <w:proofErr w:type="gramStart"/>
            <w:r w:rsidRPr="00AC1096">
              <w:rPr>
                <w:rFonts w:hAnsi="標楷體" w:hint="eastAsia"/>
                <w:sz w:val="24"/>
                <w:szCs w:val="24"/>
              </w:rPr>
              <w:t>崙</w:t>
            </w:r>
            <w:proofErr w:type="gramEnd"/>
            <w:r w:rsidRPr="00AC1096">
              <w:rPr>
                <w:rFonts w:hAnsi="標楷體" w:hint="eastAsia"/>
                <w:sz w:val="24"/>
                <w:szCs w:val="24"/>
              </w:rPr>
              <w:t>溪畔日式宿舍群規劃設計監造技術服務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4"/>
              <w:ind w:left="105"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資本門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4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1,270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24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107-109</w:t>
            </w:r>
          </w:p>
        </w:tc>
      </w:tr>
      <w:tr w:rsidR="00B431A5" w:rsidRPr="00AC1096" w:rsidTr="00DB60A8">
        <w:trPr>
          <w:trHeight w:val="118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 w:line="244" w:lineRule="auto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花蓮市太平洋臨港歷史廊道文化資產資源調查與盤點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200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12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9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花蓮市太平洋臨港歷史廊道意象設計及品牌塑造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250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9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118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5" w:line="244" w:lineRule="auto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中廣花蓮電台歷史脈絡與花岡山遺址史前文物</w:t>
            </w:r>
          </w:p>
          <w:p w:rsidR="00B431A5" w:rsidRPr="00AC1096" w:rsidRDefault="00B431A5" w:rsidP="00B431A5">
            <w:pPr>
              <w:kinsoku w:val="0"/>
              <w:overflowPunct w:val="0"/>
              <w:spacing w:before="1" w:line="339" w:lineRule="exact"/>
              <w:ind w:left="86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展示計畫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100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8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spacing w:before="8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spacing w:line="172" w:lineRule="auto"/>
              <w:ind w:left="119" w:right="18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第二年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花蓮市太平洋臨港歷史現場行銷影片建置計畫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1,017 </w:t>
            </w:r>
            <w:r w:rsidRPr="00AC1096">
              <w:rPr>
                <w:rFonts w:hAnsi="標楷體" w:hint="eastAsia"/>
                <w:sz w:val="24"/>
                <w:szCs w:val="24"/>
              </w:rPr>
              <w:t>萬</w:t>
            </w:r>
            <w:r w:rsidRPr="00AC1096">
              <w:rPr>
                <w:rFonts w:hAnsi="標楷體"/>
                <w:sz w:val="24"/>
                <w:szCs w:val="24"/>
              </w:rPr>
              <w:t xml:space="preserve"> 2,603 </w:t>
            </w:r>
            <w:r w:rsidRPr="00AC1096">
              <w:rPr>
                <w:rFonts w:hAnsi="標楷體"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118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 w:line="244" w:lineRule="auto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歷史建築中廣花蓮電台委託規劃設計監造技術服務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資本門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385 </w:t>
            </w:r>
            <w:r w:rsidRPr="00AC1096">
              <w:rPr>
                <w:rFonts w:hAnsi="標楷體" w:hint="eastAsia"/>
                <w:sz w:val="24"/>
                <w:szCs w:val="24"/>
              </w:rPr>
              <w:t>萬元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81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0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47" w:line="400" w:lineRule="atLeast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美</w:t>
            </w:r>
            <w:proofErr w:type="gramStart"/>
            <w:r w:rsidRPr="00AC1096">
              <w:rPr>
                <w:rFonts w:hAnsi="標楷體" w:hint="eastAsia"/>
                <w:sz w:val="24"/>
                <w:szCs w:val="24"/>
              </w:rPr>
              <w:t>崙</w:t>
            </w:r>
            <w:proofErr w:type="gramEnd"/>
            <w:r w:rsidRPr="00AC1096">
              <w:rPr>
                <w:rFonts w:hAnsi="標楷體" w:hint="eastAsia"/>
                <w:sz w:val="24"/>
                <w:szCs w:val="24"/>
              </w:rPr>
              <w:t>溪畔日式宿舍群建築修復暨環境美化工程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資本門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pacing w:val="-37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15,008</w:t>
            </w:r>
            <w:r w:rsidRPr="00AC1096">
              <w:rPr>
                <w:rFonts w:hAnsi="標楷體"/>
                <w:spacing w:val="-49"/>
                <w:sz w:val="24"/>
                <w:szCs w:val="24"/>
              </w:rPr>
              <w:t xml:space="preserve"> </w:t>
            </w:r>
            <w:r w:rsidRPr="00AC1096">
              <w:rPr>
                <w:rFonts w:hAnsi="標楷體" w:hint="eastAsia"/>
                <w:spacing w:val="-49"/>
                <w:sz w:val="24"/>
                <w:szCs w:val="24"/>
              </w:rPr>
              <w:t>萬</w:t>
            </w:r>
            <w:r w:rsidRPr="00AC1096">
              <w:rPr>
                <w:rFonts w:hAnsi="標楷體"/>
                <w:spacing w:val="-49"/>
                <w:sz w:val="24"/>
                <w:szCs w:val="24"/>
              </w:rPr>
              <w:t xml:space="preserve"> </w:t>
            </w:r>
            <w:r w:rsidRPr="00AC1096">
              <w:rPr>
                <w:rFonts w:hAnsi="標楷體"/>
                <w:sz w:val="24"/>
                <w:szCs w:val="24"/>
              </w:rPr>
              <w:t>5,245</w:t>
            </w:r>
            <w:r w:rsidRPr="00AC1096">
              <w:rPr>
                <w:rFonts w:hAnsi="標楷體"/>
                <w:spacing w:val="-37"/>
                <w:sz w:val="24"/>
                <w:szCs w:val="24"/>
              </w:rPr>
              <w:t xml:space="preserve"> </w:t>
            </w:r>
            <w:r w:rsidRPr="00AC1096">
              <w:rPr>
                <w:rFonts w:hAnsi="標楷體" w:hint="eastAsia"/>
                <w:spacing w:val="-37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108</w:t>
            </w:r>
          </w:p>
        </w:tc>
      </w:tr>
      <w:tr w:rsidR="00B431A5" w:rsidRPr="00AC1096" w:rsidTr="00DB60A8">
        <w:trPr>
          <w:trHeight w:val="383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 w:line="339" w:lineRule="exact"/>
              <w:ind w:left="931"/>
              <w:jc w:val="center"/>
              <w:rPr>
                <w:rFonts w:hAnsi="標楷體"/>
                <w:b/>
                <w:bCs/>
                <w:sz w:val="24"/>
                <w:szCs w:val="24"/>
              </w:rPr>
            </w:pPr>
            <w:r w:rsidRPr="00AC1096">
              <w:rPr>
                <w:rFonts w:hAnsi="標楷體"/>
                <w:b/>
                <w:bCs/>
                <w:sz w:val="24"/>
                <w:szCs w:val="24"/>
              </w:rPr>
              <w:t xml:space="preserve">107 </w:t>
            </w:r>
            <w:r w:rsidRPr="00AC1096">
              <w:rPr>
                <w:rFonts w:hAnsi="標楷體" w:hint="eastAsia"/>
                <w:b/>
                <w:bCs/>
                <w:sz w:val="24"/>
                <w:szCs w:val="24"/>
              </w:rPr>
              <w:t>年、</w:t>
            </w:r>
            <w:r w:rsidRPr="00AC1096">
              <w:rPr>
                <w:rFonts w:hAnsi="標楷體"/>
                <w:b/>
                <w:bCs/>
                <w:sz w:val="24"/>
                <w:szCs w:val="24"/>
              </w:rPr>
              <w:t xml:space="preserve">108 </w:t>
            </w:r>
            <w:r w:rsidRPr="00AC1096">
              <w:rPr>
                <w:rFonts w:hAnsi="標楷體" w:hint="eastAsia"/>
                <w:b/>
                <w:bCs/>
                <w:sz w:val="24"/>
                <w:szCs w:val="24"/>
              </w:rPr>
              <w:t>年小計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 w:line="339" w:lineRule="exact"/>
              <w:ind w:right="-15"/>
              <w:jc w:val="center"/>
              <w:rPr>
                <w:rFonts w:hAnsi="標楷體"/>
                <w:b/>
                <w:bCs/>
                <w:spacing w:val="-46"/>
                <w:sz w:val="24"/>
                <w:szCs w:val="24"/>
              </w:rPr>
            </w:pPr>
            <w:r w:rsidRPr="00AC1096">
              <w:rPr>
                <w:rFonts w:hAnsi="標楷體"/>
                <w:b/>
                <w:bCs/>
                <w:sz w:val="24"/>
                <w:szCs w:val="24"/>
              </w:rPr>
              <w:t>1億9</w:t>
            </w:r>
            <w:r w:rsidRPr="00AC1096">
              <w:rPr>
                <w:rFonts w:hAnsi="標楷體" w:hint="eastAsia"/>
                <w:b/>
                <w:bCs/>
                <w:sz w:val="24"/>
                <w:szCs w:val="24"/>
              </w:rPr>
              <w:t>,</w:t>
            </w:r>
            <w:r w:rsidRPr="00AC1096">
              <w:rPr>
                <w:rFonts w:hAnsi="標楷體"/>
                <w:b/>
                <w:bCs/>
                <w:sz w:val="24"/>
                <w:szCs w:val="24"/>
              </w:rPr>
              <w:t>200萬7</w:t>
            </w:r>
            <w:r w:rsidRPr="00AC1096">
              <w:rPr>
                <w:rFonts w:hAnsi="標楷體" w:hint="eastAsia"/>
                <w:b/>
                <w:bCs/>
                <w:sz w:val="24"/>
                <w:szCs w:val="24"/>
              </w:rPr>
              <w:t>,</w:t>
            </w:r>
            <w:r w:rsidRPr="00AC1096">
              <w:rPr>
                <w:rFonts w:hAnsi="標楷體"/>
                <w:b/>
                <w:bCs/>
                <w:sz w:val="24"/>
                <w:szCs w:val="24"/>
              </w:rPr>
              <w:t>848元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24" w:line="339" w:lineRule="exact"/>
              <w:ind w:right="-15"/>
              <w:jc w:val="center"/>
              <w:rPr>
                <w:rFonts w:hAnsi="標楷體"/>
                <w:b/>
                <w:bCs/>
                <w:sz w:val="24"/>
                <w:szCs w:val="24"/>
              </w:rPr>
            </w:pPr>
          </w:p>
        </w:tc>
      </w:tr>
      <w:tr w:rsidR="00B431A5" w:rsidRPr="00AC1096" w:rsidTr="00DB60A8">
        <w:trPr>
          <w:trHeight w:val="10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38" w:line="172" w:lineRule="auto"/>
              <w:ind w:left="119" w:right="183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lastRenderedPageBreak/>
              <w:t>第三年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</w:p>
          <w:p w:rsidR="00B431A5" w:rsidRPr="00AC1096" w:rsidRDefault="00B431A5" w:rsidP="00B431A5">
            <w:pPr>
              <w:kinsoku w:val="0"/>
              <w:overflowPunct w:val="0"/>
              <w:ind w:left="55" w:right="48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178" w:line="244" w:lineRule="auto"/>
              <w:ind w:left="86" w:right="7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中廣花蓮電台歷史建築修復暨環境美化工程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9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資本門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ind w:right="-15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3,406 </w:t>
            </w:r>
            <w:r w:rsidRPr="00AC1096">
              <w:rPr>
                <w:rFonts w:hAnsi="標楷體" w:hint="eastAsia"/>
                <w:sz w:val="24"/>
                <w:szCs w:val="24"/>
              </w:rPr>
              <w:t>萬</w:t>
            </w:r>
            <w:r w:rsidRPr="00AC1096">
              <w:rPr>
                <w:rFonts w:hAnsi="標楷體"/>
                <w:sz w:val="24"/>
                <w:szCs w:val="24"/>
              </w:rPr>
              <w:t xml:space="preserve"> 9,457 </w:t>
            </w:r>
            <w:r w:rsidRPr="00AC1096">
              <w:rPr>
                <w:rFonts w:hAnsi="標楷體"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>109</w:t>
            </w:r>
          </w:p>
        </w:tc>
      </w:tr>
      <w:tr w:rsidR="00B431A5" w:rsidRPr="00AC1096" w:rsidTr="00DB60A8">
        <w:trPr>
          <w:trHeight w:val="414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6" w:line="339" w:lineRule="exact"/>
              <w:ind w:left="86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 w:hint="eastAsia"/>
                <w:sz w:val="24"/>
                <w:szCs w:val="24"/>
              </w:rPr>
              <w:t>總計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A5" w:rsidRPr="00AC1096" w:rsidRDefault="00B431A5" w:rsidP="00B431A5">
            <w:pPr>
              <w:kinsoku w:val="0"/>
              <w:overflowPunct w:val="0"/>
              <w:spacing w:before="56" w:line="339" w:lineRule="exact"/>
              <w:ind w:left="86"/>
              <w:jc w:val="center"/>
              <w:rPr>
                <w:rFonts w:hAnsi="標楷體"/>
                <w:sz w:val="24"/>
                <w:szCs w:val="24"/>
              </w:rPr>
            </w:pPr>
            <w:r w:rsidRPr="00AC1096">
              <w:rPr>
                <w:rFonts w:hAnsi="標楷體"/>
                <w:sz w:val="24"/>
                <w:szCs w:val="24"/>
              </w:rPr>
              <w:t xml:space="preserve">22,607 </w:t>
            </w:r>
            <w:r w:rsidRPr="00AC1096">
              <w:rPr>
                <w:rFonts w:hAnsi="標楷體" w:hint="eastAsia"/>
                <w:sz w:val="24"/>
                <w:szCs w:val="24"/>
              </w:rPr>
              <w:t>萬</w:t>
            </w:r>
            <w:r w:rsidRPr="00AC1096">
              <w:rPr>
                <w:rFonts w:hAnsi="標楷體"/>
                <w:sz w:val="24"/>
                <w:szCs w:val="24"/>
              </w:rPr>
              <w:t xml:space="preserve"> 7,305 </w:t>
            </w:r>
            <w:r w:rsidRPr="00AC1096">
              <w:rPr>
                <w:rFonts w:hAnsi="標楷體" w:hint="eastAsia"/>
                <w:sz w:val="24"/>
                <w:szCs w:val="24"/>
              </w:rPr>
              <w:t>元</w:t>
            </w:r>
          </w:p>
        </w:tc>
      </w:tr>
    </w:tbl>
    <w:p w:rsidR="00B431A5" w:rsidRPr="00AC1096" w:rsidRDefault="00B431A5" w:rsidP="00DB60A8">
      <w:pPr>
        <w:pStyle w:val="a3"/>
        <w:kinsoku w:val="0"/>
        <w:overflowPunct w:val="0"/>
        <w:spacing w:before="112"/>
        <w:ind w:left="0"/>
        <w:rPr>
          <w:rFonts w:hAnsi="標楷體"/>
          <w:sz w:val="24"/>
          <w:szCs w:val="24"/>
        </w:rPr>
      </w:pPr>
    </w:p>
    <w:p w:rsidR="00B25A8C" w:rsidRPr="00AC1096" w:rsidRDefault="00B25A8C" w:rsidP="00042259">
      <w:pPr>
        <w:pStyle w:val="a3"/>
        <w:numPr>
          <w:ilvl w:val="0"/>
          <w:numId w:val="7"/>
        </w:numPr>
        <w:kinsoku w:val="0"/>
        <w:overflowPunct w:val="0"/>
        <w:spacing w:before="112"/>
        <w:ind w:left="1134" w:hanging="708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效益分析</w:t>
      </w:r>
    </w:p>
    <w:p w:rsidR="00DB60A8" w:rsidRPr="00AC1096" w:rsidRDefault="00DB60A8" w:rsidP="00DB60A8">
      <w:pPr>
        <w:pStyle w:val="a3"/>
        <w:kinsoku w:val="0"/>
        <w:overflowPunct w:val="0"/>
        <w:spacing w:before="91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(</w:t>
      </w:r>
      <w:proofErr w:type="gramStart"/>
      <w:r w:rsidRPr="00AC1096">
        <w:rPr>
          <w:rFonts w:hAnsi="標楷體" w:hint="eastAsia"/>
          <w:sz w:val="24"/>
          <w:szCs w:val="24"/>
        </w:rPr>
        <w:t>一</w:t>
      </w:r>
      <w:proofErr w:type="gramEnd"/>
      <w:r w:rsidRPr="00AC1096">
        <w:rPr>
          <w:rFonts w:hAnsi="標楷體"/>
          <w:sz w:val="24"/>
          <w:szCs w:val="24"/>
        </w:rPr>
        <w:t xml:space="preserve">) </w:t>
      </w:r>
      <w:r w:rsidRPr="00AC1096">
        <w:rPr>
          <w:rFonts w:hAnsi="標楷體" w:hint="eastAsia"/>
          <w:sz w:val="24"/>
          <w:szCs w:val="24"/>
        </w:rPr>
        <w:t>可量化效益</w:t>
      </w:r>
    </w:p>
    <w:p w:rsidR="00DB60A8" w:rsidRPr="00AC1096" w:rsidRDefault="00DB60A8" w:rsidP="00DB60A8">
      <w:pPr>
        <w:pStyle w:val="a3"/>
        <w:kinsoku w:val="0"/>
        <w:overflowPunct w:val="0"/>
        <w:spacing w:before="108"/>
        <w:ind w:left="1419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1.</w:t>
      </w:r>
      <w:r w:rsidRPr="00AC1096">
        <w:rPr>
          <w:rFonts w:hAnsi="標楷體" w:hint="eastAsia"/>
          <w:sz w:val="24"/>
          <w:szCs w:val="24"/>
        </w:rPr>
        <w:t>每年帶來約</w:t>
      </w:r>
      <w:r w:rsidRPr="00AC1096">
        <w:rPr>
          <w:rFonts w:hAnsi="標楷體"/>
          <w:sz w:val="24"/>
          <w:szCs w:val="24"/>
        </w:rPr>
        <w:t xml:space="preserve"> 10 </w:t>
      </w:r>
      <w:r w:rsidRPr="00AC1096">
        <w:rPr>
          <w:rFonts w:hAnsi="標楷體" w:hint="eastAsia"/>
          <w:sz w:val="24"/>
          <w:szCs w:val="24"/>
        </w:rPr>
        <w:t>萬以上觀光人次。</w:t>
      </w:r>
    </w:p>
    <w:p w:rsidR="00DB60A8" w:rsidRPr="00AC1096" w:rsidRDefault="00DB60A8" w:rsidP="00DB60A8">
      <w:pPr>
        <w:pStyle w:val="a3"/>
        <w:kinsoku w:val="0"/>
        <w:overflowPunct w:val="0"/>
        <w:spacing w:before="110"/>
        <w:ind w:left="1419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2.</w:t>
      </w:r>
      <w:r w:rsidRPr="00AC1096">
        <w:rPr>
          <w:rFonts w:hAnsi="標楷體" w:hint="eastAsia"/>
          <w:sz w:val="24"/>
          <w:szCs w:val="24"/>
        </w:rPr>
        <w:t>旅客每人平均在地消費金額可達</w:t>
      </w:r>
      <w:r w:rsidRPr="00AC1096">
        <w:rPr>
          <w:rFonts w:hAnsi="標楷體"/>
          <w:sz w:val="24"/>
          <w:szCs w:val="24"/>
        </w:rPr>
        <w:t xml:space="preserve"> 1,000 </w:t>
      </w:r>
      <w:r w:rsidRPr="00AC1096">
        <w:rPr>
          <w:rFonts w:hAnsi="標楷體" w:hint="eastAsia"/>
          <w:sz w:val="24"/>
          <w:szCs w:val="24"/>
        </w:rPr>
        <w:t>元。</w:t>
      </w:r>
    </w:p>
    <w:p w:rsidR="00DB60A8" w:rsidRPr="00AC1096" w:rsidRDefault="00DB60A8" w:rsidP="00DB60A8">
      <w:pPr>
        <w:pStyle w:val="a3"/>
        <w:kinsoku w:val="0"/>
        <w:overflowPunct w:val="0"/>
        <w:spacing w:before="108"/>
        <w:ind w:left="1419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3.</w:t>
      </w:r>
      <w:r w:rsidRPr="00AC1096">
        <w:rPr>
          <w:rFonts w:hAnsi="標楷體" w:hint="eastAsia"/>
          <w:sz w:val="24"/>
          <w:szCs w:val="24"/>
        </w:rPr>
        <w:t>參與公共學習活動次數每年</w:t>
      </w:r>
      <w:r w:rsidRPr="00AC1096">
        <w:rPr>
          <w:rFonts w:hAnsi="標楷體"/>
          <w:sz w:val="24"/>
          <w:szCs w:val="24"/>
        </w:rPr>
        <w:t xml:space="preserve"> 500 </w:t>
      </w:r>
      <w:r w:rsidRPr="00AC1096">
        <w:rPr>
          <w:rFonts w:hAnsi="標楷體" w:hint="eastAsia"/>
          <w:sz w:val="24"/>
          <w:szCs w:val="24"/>
        </w:rPr>
        <w:t>次。</w:t>
      </w:r>
    </w:p>
    <w:p w:rsidR="00DB60A8" w:rsidRPr="00AC1096" w:rsidRDefault="00DB60A8" w:rsidP="00DB60A8">
      <w:pPr>
        <w:pStyle w:val="a3"/>
        <w:kinsoku w:val="0"/>
        <w:overflowPunct w:val="0"/>
        <w:spacing w:before="107"/>
        <w:ind w:left="1419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4.</w:t>
      </w:r>
      <w:r w:rsidRPr="00AC1096">
        <w:rPr>
          <w:rFonts w:hAnsi="標楷體" w:hint="eastAsia"/>
          <w:sz w:val="24"/>
          <w:szCs w:val="24"/>
        </w:rPr>
        <w:t>提升在</w:t>
      </w:r>
      <w:proofErr w:type="gramStart"/>
      <w:r w:rsidRPr="00AC1096">
        <w:rPr>
          <w:rFonts w:hAnsi="標楷體" w:hint="eastAsia"/>
          <w:sz w:val="24"/>
          <w:szCs w:val="24"/>
        </w:rPr>
        <w:t>地文創產業</w:t>
      </w:r>
      <w:proofErr w:type="gramEnd"/>
      <w:r w:rsidRPr="00AC1096">
        <w:rPr>
          <w:rFonts w:hAnsi="標楷體" w:hint="eastAsia"/>
          <w:sz w:val="24"/>
          <w:szCs w:val="24"/>
        </w:rPr>
        <w:t>競爭力，增加</w:t>
      </w:r>
      <w:r w:rsidRPr="00AC1096">
        <w:rPr>
          <w:rFonts w:hAnsi="標楷體"/>
          <w:sz w:val="24"/>
          <w:szCs w:val="24"/>
        </w:rPr>
        <w:t xml:space="preserve"> 100 </w:t>
      </w:r>
      <w:proofErr w:type="gramStart"/>
      <w:r w:rsidRPr="00AC1096">
        <w:rPr>
          <w:rFonts w:hAnsi="標楷體" w:hint="eastAsia"/>
          <w:sz w:val="24"/>
          <w:szCs w:val="24"/>
        </w:rPr>
        <w:t>個</w:t>
      </w:r>
      <w:proofErr w:type="gramEnd"/>
      <w:r w:rsidRPr="00AC1096">
        <w:rPr>
          <w:rFonts w:hAnsi="標楷體" w:hint="eastAsia"/>
          <w:sz w:val="24"/>
          <w:szCs w:val="24"/>
        </w:rPr>
        <w:t>以上就業機會。</w:t>
      </w:r>
    </w:p>
    <w:p w:rsidR="00DB60A8" w:rsidRPr="00AC1096" w:rsidRDefault="00DB60A8" w:rsidP="00DB60A8">
      <w:pPr>
        <w:pStyle w:val="a3"/>
        <w:kinsoku w:val="0"/>
        <w:overflowPunct w:val="0"/>
        <w:spacing w:before="110"/>
        <w:rPr>
          <w:rFonts w:hAnsi="標楷體"/>
          <w:sz w:val="24"/>
          <w:szCs w:val="24"/>
        </w:rPr>
      </w:pPr>
      <w:r w:rsidRPr="00AC1096">
        <w:rPr>
          <w:rFonts w:hAnsi="標楷體"/>
          <w:sz w:val="24"/>
          <w:szCs w:val="24"/>
        </w:rPr>
        <w:t>(</w:t>
      </w:r>
      <w:r w:rsidRPr="00AC1096">
        <w:rPr>
          <w:rFonts w:hAnsi="標楷體" w:hint="eastAsia"/>
          <w:sz w:val="24"/>
          <w:szCs w:val="24"/>
        </w:rPr>
        <w:t>二</w:t>
      </w:r>
      <w:r w:rsidRPr="00AC1096">
        <w:rPr>
          <w:rFonts w:hAnsi="標楷體"/>
          <w:sz w:val="24"/>
          <w:szCs w:val="24"/>
        </w:rPr>
        <w:t xml:space="preserve">) </w:t>
      </w:r>
      <w:r w:rsidRPr="00AC1096">
        <w:rPr>
          <w:rFonts w:hAnsi="標楷體" w:hint="eastAsia"/>
          <w:sz w:val="24"/>
          <w:szCs w:val="24"/>
        </w:rPr>
        <w:t>質化效益</w:t>
      </w:r>
    </w:p>
    <w:p w:rsidR="00DB60A8" w:rsidRPr="00AC1096" w:rsidRDefault="00DB60A8" w:rsidP="00DB60A8">
      <w:pPr>
        <w:pStyle w:val="a7"/>
        <w:numPr>
          <w:ilvl w:val="1"/>
          <w:numId w:val="10"/>
        </w:numPr>
        <w:tabs>
          <w:tab w:val="left" w:pos="1701"/>
        </w:tabs>
        <w:kinsoku w:val="0"/>
        <w:overflowPunct w:val="0"/>
        <w:spacing w:before="43" w:line="256" w:lineRule="auto"/>
        <w:ind w:left="1701" w:right="876" w:hanging="275"/>
        <w:rPr>
          <w:rFonts w:hAnsi="標楷體"/>
          <w:spacing w:val="-3"/>
        </w:rPr>
      </w:pPr>
      <w:r w:rsidRPr="00AC1096">
        <w:rPr>
          <w:rFonts w:hAnsi="標楷體" w:hint="eastAsia"/>
          <w:spacing w:val="-3"/>
        </w:rPr>
        <w:t>藉由太平洋</w:t>
      </w:r>
      <w:proofErr w:type="gramStart"/>
      <w:r w:rsidRPr="00AC1096">
        <w:rPr>
          <w:rFonts w:hAnsi="標楷體" w:hint="eastAsia"/>
          <w:spacing w:val="-3"/>
        </w:rPr>
        <w:t>臨港廊道</w:t>
      </w:r>
      <w:proofErr w:type="gramEnd"/>
      <w:r w:rsidRPr="00AC1096">
        <w:rPr>
          <w:rFonts w:hAnsi="標楷體" w:hint="eastAsia"/>
          <w:spacing w:val="-3"/>
        </w:rPr>
        <w:t>各景點的整合，重現此城市發展過程獨特的歷史紋理，有效推廣在地文化歷史，建立科技與創新應用的新都市展演空間。</w:t>
      </w:r>
    </w:p>
    <w:p w:rsidR="00DB60A8" w:rsidRPr="00AC1096" w:rsidRDefault="00DB60A8" w:rsidP="00DB60A8">
      <w:pPr>
        <w:pStyle w:val="a7"/>
        <w:numPr>
          <w:ilvl w:val="1"/>
          <w:numId w:val="10"/>
        </w:numPr>
        <w:tabs>
          <w:tab w:val="left" w:pos="1701"/>
        </w:tabs>
        <w:kinsoku w:val="0"/>
        <w:overflowPunct w:val="0"/>
        <w:spacing w:before="3" w:line="256" w:lineRule="auto"/>
        <w:ind w:right="856"/>
        <w:rPr>
          <w:rFonts w:hAnsi="標楷體"/>
          <w:spacing w:val="-19"/>
        </w:rPr>
      </w:pPr>
      <w:r w:rsidRPr="00AC1096">
        <w:rPr>
          <w:rFonts w:hAnsi="標楷體" w:hint="eastAsia"/>
          <w:spacing w:val="-3"/>
        </w:rPr>
        <w:t>將中廣花蓮電台歷史建築的空間活化，結合虛擬科技呈現花蓮市街的開</w:t>
      </w:r>
      <w:r w:rsidRPr="00AC1096">
        <w:rPr>
          <w:rFonts w:hAnsi="標楷體" w:hint="eastAsia"/>
          <w:spacing w:val="-19"/>
        </w:rPr>
        <w:t>發史，並從軍事、交通、族群、產業等層面介紹周邊</w:t>
      </w:r>
      <w:proofErr w:type="gramStart"/>
      <w:r w:rsidRPr="00AC1096">
        <w:rPr>
          <w:rFonts w:hAnsi="標楷體" w:hint="eastAsia"/>
          <w:spacing w:val="-19"/>
        </w:rPr>
        <w:t>文資點及</w:t>
      </w:r>
      <w:proofErr w:type="gramEnd"/>
      <w:r w:rsidRPr="00AC1096">
        <w:rPr>
          <w:rFonts w:hAnsi="標楷體" w:hint="eastAsia"/>
          <w:spacing w:val="-19"/>
        </w:rPr>
        <w:t>歷史空間。</w:t>
      </w:r>
    </w:p>
    <w:p w:rsidR="00DB60A8" w:rsidRPr="00AC1096" w:rsidRDefault="00DB60A8" w:rsidP="00DB60A8">
      <w:pPr>
        <w:pStyle w:val="a7"/>
        <w:numPr>
          <w:ilvl w:val="1"/>
          <w:numId w:val="10"/>
        </w:numPr>
        <w:tabs>
          <w:tab w:val="left" w:pos="1701"/>
        </w:tabs>
        <w:kinsoku w:val="0"/>
        <w:overflowPunct w:val="0"/>
        <w:spacing w:line="256" w:lineRule="auto"/>
        <w:ind w:left="1701" w:right="876" w:hanging="275"/>
        <w:rPr>
          <w:rFonts w:hAnsi="標楷體"/>
          <w:spacing w:val="-3"/>
        </w:rPr>
      </w:pPr>
      <w:r w:rsidRPr="00AC1096">
        <w:rPr>
          <w:rFonts w:hAnsi="標楷體" w:hint="eastAsia"/>
          <w:spacing w:val="-3"/>
        </w:rPr>
        <w:t>回應民眾對於保護歷史建築與活化之期望，達到歷史記憶保存及使用雙贏之目的。</w:t>
      </w:r>
    </w:p>
    <w:p w:rsidR="00DB60A8" w:rsidRPr="00AC1096" w:rsidRDefault="00DB60A8" w:rsidP="00DB60A8">
      <w:pPr>
        <w:pStyle w:val="a3"/>
        <w:kinsoku w:val="0"/>
        <w:overflowPunct w:val="0"/>
        <w:spacing w:before="112"/>
        <w:ind w:left="1134"/>
        <w:rPr>
          <w:rFonts w:hAnsi="標楷體"/>
          <w:sz w:val="24"/>
          <w:szCs w:val="24"/>
        </w:rPr>
      </w:pPr>
    </w:p>
    <w:p w:rsidR="00DB60A8" w:rsidRPr="00AC1096" w:rsidRDefault="00B25A8C" w:rsidP="00DB60A8">
      <w:pPr>
        <w:pStyle w:val="a3"/>
        <w:numPr>
          <w:ilvl w:val="0"/>
          <w:numId w:val="1"/>
        </w:numPr>
        <w:kinsoku w:val="0"/>
        <w:overflowPunct w:val="0"/>
        <w:spacing w:before="112"/>
        <w:ind w:left="567" w:hanging="567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財源籌措及資金運用</w:t>
      </w:r>
    </w:p>
    <w:p w:rsidR="00DB60A8" w:rsidRPr="00AC1096" w:rsidRDefault="00DB60A8" w:rsidP="00AC1096">
      <w:pPr>
        <w:pStyle w:val="a3"/>
        <w:kinsoku w:val="0"/>
        <w:overflowPunct w:val="0"/>
        <w:spacing w:before="112"/>
        <w:ind w:left="567" w:firstLine="393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「花蓮市太平洋臨港廊道歷史場景再現計畫」經費來源係依「</w:t>
      </w:r>
      <w:r w:rsidRPr="00AC1096">
        <w:rPr>
          <w:rFonts w:hAnsi="標楷體" w:hint="eastAsia"/>
          <w:color w:val="000000"/>
          <w:sz w:val="24"/>
          <w:szCs w:val="24"/>
          <w:shd w:val="clear" w:color="auto" w:fill="FFFFFF"/>
        </w:rPr>
        <w:t>文化部再造歷史現場專案計畫補助作業要點」</w:t>
      </w:r>
      <w:r w:rsidR="001D4120" w:rsidRPr="00AC1096">
        <w:rPr>
          <w:rFonts w:hAnsi="標楷體" w:hint="eastAsia"/>
          <w:color w:val="000000"/>
          <w:sz w:val="24"/>
          <w:szCs w:val="24"/>
          <w:shd w:val="clear" w:color="auto" w:fill="FFFFFF"/>
        </w:rPr>
        <w:t>規定申請相關補助經費，補助比例為中央90%，地方自籌款10%。</w:t>
      </w:r>
    </w:p>
    <w:p w:rsidR="00042259" w:rsidRPr="00AC1096" w:rsidRDefault="00042259" w:rsidP="001D4120">
      <w:pPr>
        <w:pStyle w:val="a3"/>
        <w:numPr>
          <w:ilvl w:val="0"/>
          <w:numId w:val="1"/>
        </w:numPr>
        <w:kinsoku w:val="0"/>
        <w:overflowPunct w:val="0"/>
        <w:spacing w:before="112"/>
        <w:ind w:left="567" w:hanging="567"/>
        <w:rPr>
          <w:rFonts w:hAnsi="標楷體"/>
          <w:sz w:val="24"/>
          <w:szCs w:val="24"/>
        </w:rPr>
      </w:pPr>
      <w:r w:rsidRPr="00AC1096">
        <w:rPr>
          <w:rFonts w:hAnsi="標楷體" w:hint="eastAsia"/>
          <w:sz w:val="24"/>
          <w:szCs w:val="24"/>
        </w:rPr>
        <w:t>替選方案之分析及評估</w:t>
      </w:r>
    </w:p>
    <w:p w:rsidR="001D4120" w:rsidRPr="00AC1096" w:rsidRDefault="00AC1096" w:rsidP="00BD00CA">
      <w:pPr>
        <w:pStyle w:val="TableParagraph"/>
        <w:tabs>
          <w:tab w:val="left" w:pos="382"/>
        </w:tabs>
        <w:kinsoku w:val="0"/>
        <w:overflowPunct w:val="0"/>
        <w:spacing w:before="75" w:line="268" w:lineRule="auto"/>
        <w:ind w:right="18"/>
        <w:rPr>
          <w:spacing w:val="-7"/>
        </w:rPr>
      </w:pPr>
      <w:r>
        <w:rPr>
          <w:rFonts w:hAnsi="標楷體" w:hint="eastAsia"/>
        </w:rPr>
        <w:tab/>
      </w:r>
      <w:r w:rsidR="00766971" w:rsidRPr="00AC1096">
        <w:rPr>
          <w:rFonts w:hAnsi="標楷體"/>
        </w:rPr>
        <w:t>綜上，</w:t>
      </w:r>
      <w:r w:rsidR="00255CF4" w:rsidRPr="00AC1096">
        <w:rPr>
          <w:rFonts w:hAnsi="標楷體" w:hint="eastAsia"/>
        </w:rPr>
        <w:t>「花蓮市太平洋</w:t>
      </w:r>
      <w:proofErr w:type="gramStart"/>
      <w:r w:rsidR="00255CF4" w:rsidRPr="00AC1096">
        <w:rPr>
          <w:rFonts w:hAnsi="標楷體" w:hint="eastAsia"/>
        </w:rPr>
        <w:t>臨港廊道</w:t>
      </w:r>
      <w:proofErr w:type="gramEnd"/>
      <w:r w:rsidR="00255CF4" w:rsidRPr="00AC1096">
        <w:rPr>
          <w:rFonts w:hAnsi="標楷體" w:hint="eastAsia"/>
        </w:rPr>
        <w:t>歷史場景再現計畫」</w:t>
      </w:r>
      <w:r w:rsidR="00BD00CA" w:rsidRPr="00AC1096">
        <w:rPr>
          <w:rFonts w:hAnsi="標楷體" w:hint="eastAsia"/>
        </w:rPr>
        <w:t>係藉由</w:t>
      </w:r>
      <w:r w:rsidR="00BD00CA" w:rsidRPr="00AC1096">
        <w:rPr>
          <w:rFonts w:hint="eastAsia"/>
          <w:spacing w:val="-9"/>
        </w:rPr>
        <w:t>太平洋</w:t>
      </w:r>
      <w:proofErr w:type="gramStart"/>
      <w:r w:rsidR="00BD00CA" w:rsidRPr="00AC1096">
        <w:rPr>
          <w:rFonts w:hint="eastAsia"/>
          <w:spacing w:val="-9"/>
        </w:rPr>
        <w:t>臨港廊道</w:t>
      </w:r>
      <w:proofErr w:type="gramEnd"/>
      <w:r w:rsidR="00BD00CA" w:rsidRPr="00AC1096">
        <w:rPr>
          <w:rFonts w:hint="eastAsia"/>
          <w:spacing w:val="-9"/>
        </w:rPr>
        <w:t>各景點的整合，重現此城市發展過程獨特</w:t>
      </w:r>
      <w:r w:rsidR="00BD00CA" w:rsidRPr="00AC1096">
        <w:rPr>
          <w:rFonts w:hint="eastAsia"/>
          <w:spacing w:val="-11"/>
        </w:rPr>
        <w:t>的歷史紋理，並推廣在地文化歷史，建立科技與創新應用的</w:t>
      </w:r>
      <w:r w:rsidR="00BD00CA" w:rsidRPr="00AC1096">
        <w:rPr>
          <w:rFonts w:hint="eastAsia"/>
          <w:spacing w:val="-7"/>
        </w:rPr>
        <w:t>新都市展演空間。此外也</w:t>
      </w:r>
      <w:r w:rsidR="00BD00CA" w:rsidRPr="00AC1096">
        <w:rPr>
          <w:rFonts w:hint="eastAsia"/>
          <w:spacing w:val="-9"/>
        </w:rPr>
        <w:t>將區內歷史建築的空間進行整修及活化，</w:t>
      </w:r>
      <w:r w:rsidR="00BD00CA" w:rsidRPr="00AC1096">
        <w:rPr>
          <w:rFonts w:hint="eastAsia"/>
          <w:spacing w:val="-7"/>
        </w:rPr>
        <w:t>回應民眾對於保護歷史建築與活化之期望，達到歷史記憶保存</w:t>
      </w:r>
      <w:r w:rsidR="00BD00CA" w:rsidRPr="00AC1096">
        <w:rPr>
          <w:rFonts w:hint="eastAsia"/>
        </w:rPr>
        <w:t>及使用雙贏之目的，讓歷史場景除得以再現外，也藉此機會進行文化資產之修復。然因古蹟修復及相關文史資料之建置、整合等，皆屬具有獨特性之專業服務，並涉及專業</w:t>
      </w:r>
      <w:proofErr w:type="gramStart"/>
      <w:r w:rsidR="00BD00CA" w:rsidRPr="00AC1096">
        <w:rPr>
          <w:rFonts w:hint="eastAsia"/>
        </w:rPr>
        <w:t>匠師工</w:t>
      </w:r>
      <w:proofErr w:type="gramEnd"/>
      <w:r w:rsidR="00BD00CA" w:rsidRPr="00AC1096">
        <w:rPr>
          <w:rFonts w:hint="eastAsia"/>
        </w:rPr>
        <w:t>法，故無</w:t>
      </w:r>
      <w:r w:rsidR="00BD00CA" w:rsidRPr="00AC1096">
        <w:rPr>
          <w:rFonts w:hint="eastAsia"/>
        </w:rPr>
        <w:lastRenderedPageBreak/>
        <w:t>替代方案。</w:t>
      </w:r>
    </w:p>
    <w:sectPr w:rsidR="001D4120" w:rsidRPr="00AC1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81" w:hanging="353"/>
      </w:pPr>
      <w:rPr>
        <w:rFonts w:ascii="標楷體" w:eastAsia="標楷體" w:cs="標楷體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31" w:hanging="353"/>
      </w:pPr>
    </w:lvl>
    <w:lvl w:ilvl="2">
      <w:numFmt w:val="bullet"/>
      <w:lvlText w:val="•"/>
      <w:lvlJc w:val="left"/>
      <w:pPr>
        <w:ind w:left="1882" w:hanging="353"/>
      </w:pPr>
    </w:lvl>
    <w:lvl w:ilvl="3">
      <w:numFmt w:val="bullet"/>
      <w:lvlText w:val="•"/>
      <w:lvlJc w:val="left"/>
      <w:pPr>
        <w:ind w:left="2633" w:hanging="353"/>
      </w:pPr>
    </w:lvl>
    <w:lvl w:ilvl="4">
      <w:numFmt w:val="bullet"/>
      <w:lvlText w:val="•"/>
      <w:lvlJc w:val="left"/>
      <w:pPr>
        <w:ind w:left="3384" w:hanging="353"/>
      </w:pPr>
    </w:lvl>
    <w:lvl w:ilvl="5">
      <w:numFmt w:val="bullet"/>
      <w:lvlText w:val="•"/>
      <w:lvlJc w:val="left"/>
      <w:pPr>
        <w:ind w:left="4135" w:hanging="353"/>
      </w:pPr>
    </w:lvl>
    <w:lvl w:ilvl="6">
      <w:numFmt w:val="bullet"/>
      <w:lvlText w:val="•"/>
      <w:lvlJc w:val="left"/>
      <w:pPr>
        <w:ind w:left="4886" w:hanging="353"/>
      </w:pPr>
    </w:lvl>
    <w:lvl w:ilvl="7">
      <w:numFmt w:val="bullet"/>
      <w:lvlText w:val="•"/>
      <w:lvlJc w:val="left"/>
      <w:pPr>
        <w:ind w:left="5637" w:hanging="353"/>
      </w:pPr>
    </w:lvl>
    <w:lvl w:ilvl="8">
      <w:numFmt w:val="bullet"/>
      <w:lvlText w:val="•"/>
      <w:lvlJc w:val="left"/>
      <w:pPr>
        <w:ind w:left="6388" w:hanging="353"/>
      </w:pPr>
    </w:lvl>
  </w:abstractNum>
  <w:abstractNum w:abstractNumId="1" w15:restartNumberingAfterBreak="0">
    <w:nsid w:val="00000405"/>
    <w:multiLevelType w:val="multilevel"/>
    <w:tmpl w:val="D218832A"/>
    <w:lvl w:ilvl="0">
      <w:start w:val="1"/>
      <w:numFmt w:val="decimal"/>
      <w:lvlText w:val="%1."/>
      <w:lvlJc w:val="left"/>
      <w:pPr>
        <w:ind w:left="1220" w:hanging="361"/>
      </w:pPr>
      <w:rPr>
        <w:rFonts w:ascii="標楷體" w:eastAsia="標楷體" w:cs="標楷體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906" w:hanging="480"/>
      </w:pPr>
      <w:rPr>
        <w:rFonts w:ascii="標楷體" w:eastAsia="標楷體" w:hAnsi="標楷體" w:cs="Times New Roman"/>
        <w:b w:val="0"/>
        <w:bCs w:val="0"/>
        <w:spacing w:val="0"/>
        <w:w w:val="100"/>
        <w:sz w:val="24"/>
        <w:szCs w:val="28"/>
      </w:rPr>
    </w:lvl>
    <w:lvl w:ilvl="2">
      <w:numFmt w:val="bullet"/>
      <w:lvlText w:val="•"/>
      <w:lvlJc w:val="left"/>
      <w:pPr>
        <w:ind w:left="2962" w:hanging="480"/>
      </w:pPr>
    </w:lvl>
    <w:lvl w:ilvl="3">
      <w:numFmt w:val="bullet"/>
      <w:lvlText w:val="•"/>
      <w:lvlJc w:val="left"/>
      <w:pPr>
        <w:ind w:left="4025" w:hanging="480"/>
      </w:pPr>
    </w:lvl>
    <w:lvl w:ilvl="4">
      <w:numFmt w:val="bullet"/>
      <w:lvlText w:val="•"/>
      <w:lvlJc w:val="left"/>
      <w:pPr>
        <w:ind w:left="5088" w:hanging="480"/>
      </w:pPr>
    </w:lvl>
    <w:lvl w:ilvl="5">
      <w:numFmt w:val="bullet"/>
      <w:lvlText w:val="•"/>
      <w:lvlJc w:val="left"/>
      <w:pPr>
        <w:ind w:left="6151" w:hanging="480"/>
      </w:pPr>
    </w:lvl>
    <w:lvl w:ilvl="6">
      <w:numFmt w:val="bullet"/>
      <w:lvlText w:val="•"/>
      <w:lvlJc w:val="left"/>
      <w:pPr>
        <w:ind w:left="7214" w:hanging="480"/>
      </w:pPr>
    </w:lvl>
    <w:lvl w:ilvl="7">
      <w:numFmt w:val="bullet"/>
      <w:lvlText w:val="•"/>
      <w:lvlJc w:val="left"/>
      <w:pPr>
        <w:ind w:left="8277" w:hanging="480"/>
      </w:pPr>
    </w:lvl>
    <w:lvl w:ilvl="8">
      <w:numFmt w:val="bullet"/>
      <w:lvlText w:val="•"/>
      <w:lvlJc w:val="left"/>
      <w:pPr>
        <w:ind w:left="9340" w:hanging="480"/>
      </w:pPr>
    </w:lvl>
  </w:abstractNum>
  <w:abstractNum w:abstractNumId="2" w15:restartNumberingAfterBreak="0">
    <w:nsid w:val="0F707286"/>
    <w:multiLevelType w:val="hybridMultilevel"/>
    <w:tmpl w:val="A30EE446"/>
    <w:lvl w:ilvl="0" w:tplc="9C3E9B10">
      <w:start w:val="1"/>
      <w:numFmt w:val="taiwaneseCountingThousand"/>
      <w:lvlText w:val="%1、"/>
      <w:lvlJc w:val="left"/>
      <w:pPr>
        <w:tabs>
          <w:tab w:val="num" w:pos="0"/>
        </w:tabs>
        <w:ind w:left="595" w:hanging="595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04013E"/>
    <w:multiLevelType w:val="hybridMultilevel"/>
    <w:tmpl w:val="3946A3E8"/>
    <w:lvl w:ilvl="0" w:tplc="8FE00144">
      <w:start w:val="1"/>
      <w:numFmt w:val="ideographLegalTraditional"/>
      <w:lvlText w:val="%1、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68514A"/>
    <w:multiLevelType w:val="hybridMultilevel"/>
    <w:tmpl w:val="979A69B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DC10E8"/>
    <w:multiLevelType w:val="hybridMultilevel"/>
    <w:tmpl w:val="866A24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78F1733"/>
    <w:multiLevelType w:val="hybridMultilevel"/>
    <w:tmpl w:val="708E672C"/>
    <w:lvl w:ilvl="0" w:tplc="6428E07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color w:val="auto"/>
      </w:rPr>
    </w:lvl>
    <w:lvl w:ilvl="1" w:tplc="D6F05D6A">
      <w:start w:val="1"/>
      <w:numFmt w:val="decimal"/>
      <w:lvlText w:val="%2."/>
      <w:lvlJc w:val="left"/>
      <w:pPr>
        <w:ind w:left="1320" w:hanging="360"/>
      </w:pPr>
    </w:lvl>
    <w:lvl w:ilvl="2" w:tplc="9F645D20">
      <w:start w:val="1"/>
      <w:numFmt w:val="decimal"/>
      <w:lvlText w:val="(%3)"/>
      <w:lvlJc w:val="left"/>
      <w:pPr>
        <w:ind w:left="2160" w:hanging="720"/>
      </w:pPr>
    </w:lvl>
    <w:lvl w:ilvl="3" w:tplc="0FD47420">
      <w:start w:val="1"/>
      <w:numFmt w:val="taiwaneseCountingThousand"/>
      <w:lvlText w:val="(%4)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hint="eastAsia"/>
        <w:color w:val="auto"/>
      </w:rPr>
    </w:lvl>
    <w:lvl w:ilvl="4" w:tplc="0409000F">
      <w:start w:val="1"/>
      <w:numFmt w:val="decimal"/>
      <w:lvlText w:val="%5."/>
      <w:lvlJc w:val="left"/>
      <w:pPr>
        <w:tabs>
          <w:tab w:val="num" w:pos="2880"/>
        </w:tabs>
        <w:ind w:left="2880" w:hanging="48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BDC1859"/>
    <w:multiLevelType w:val="hybridMultilevel"/>
    <w:tmpl w:val="A40618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156957"/>
    <w:multiLevelType w:val="hybridMultilevel"/>
    <w:tmpl w:val="D0365F8E"/>
    <w:lvl w:ilvl="0" w:tplc="BBBE00D4">
      <w:start w:val="1"/>
      <w:numFmt w:val="taiwaneseCountingThousand"/>
      <w:lvlText w:val="%1、"/>
      <w:lvlJc w:val="left"/>
      <w:pPr>
        <w:ind w:left="480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8C0915"/>
    <w:multiLevelType w:val="hybridMultilevel"/>
    <w:tmpl w:val="B4467584"/>
    <w:lvl w:ilvl="0" w:tplc="BBBE00D4">
      <w:start w:val="1"/>
      <w:numFmt w:val="taiwaneseCountingThousand"/>
      <w:lvlText w:val="%1、"/>
      <w:lvlJc w:val="left"/>
      <w:pPr>
        <w:ind w:left="480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D04A5E"/>
    <w:multiLevelType w:val="hybridMultilevel"/>
    <w:tmpl w:val="9B34C1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C"/>
    <w:rsid w:val="00003B74"/>
    <w:rsid w:val="00042259"/>
    <w:rsid w:val="001D4120"/>
    <w:rsid w:val="00255CF4"/>
    <w:rsid w:val="004101CC"/>
    <w:rsid w:val="00471260"/>
    <w:rsid w:val="00766971"/>
    <w:rsid w:val="00A5671F"/>
    <w:rsid w:val="00AC1096"/>
    <w:rsid w:val="00B25A8C"/>
    <w:rsid w:val="00B431A5"/>
    <w:rsid w:val="00BD00CA"/>
    <w:rsid w:val="00D02CF5"/>
    <w:rsid w:val="00DB60A8"/>
    <w:rsid w:val="00ED418B"/>
    <w:rsid w:val="00F404AA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1510C-5DBE-47CD-8A54-12B49CA4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5A8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BD00CA"/>
    <w:pPr>
      <w:ind w:left="86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5A8C"/>
    <w:pPr>
      <w:ind w:left="860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rsid w:val="00B25A8C"/>
    <w:rPr>
      <w:rFonts w:ascii="標楷體" w:eastAsia="標楷體" w:hAnsi="Times New Roman" w:cs="標楷體"/>
      <w:kern w:val="0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rsid w:val="00B25A8C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B25A8C"/>
    <w:rPr>
      <w:rFonts w:ascii="標楷體" w:eastAsia="標楷體" w:hAnsi="Times New Roman" w:cs="標楷體"/>
      <w:kern w:val="0"/>
      <w:sz w:val="22"/>
    </w:rPr>
  </w:style>
  <w:style w:type="paragraph" w:customStyle="1" w:styleId="11">
    <w:name w:val="清單段落1"/>
    <w:basedOn w:val="a"/>
    <w:rsid w:val="00D02CF5"/>
    <w:pPr>
      <w:autoSpaceDE/>
      <w:autoSpaceDN/>
      <w:adjustRightInd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styleId="a7">
    <w:name w:val="List Paragraph"/>
    <w:basedOn w:val="a"/>
    <w:uiPriority w:val="1"/>
    <w:qFormat/>
    <w:rsid w:val="00DB60A8"/>
    <w:pPr>
      <w:spacing w:before="2"/>
      <w:ind w:left="1906" w:hanging="480"/>
    </w:pPr>
    <w:rPr>
      <w:sz w:val="24"/>
      <w:szCs w:val="24"/>
    </w:rPr>
  </w:style>
  <w:style w:type="character" w:customStyle="1" w:styleId="10">
    <w:name w:val="標題 1 字元"/>
    <w:basedOn w:val="a0"/>
    <w:link w:val="1"/>
    <w:uiPriority w:val="1"/>
    <w:rsid w:val="00BD00CA"/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D0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2021-06-02T00:52:00Z</dcterms:created>
  <dcterms:modified xsi:type="dcterms:W3CDTF">2021-06-02T00:52:00Z</dcterms:modified>
</cp:coreProperties>
</file>